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rPr>
      </w:pPr>
      <w:r>
        <w:rPr>
          <w:rFonts w:hint="eastAsia" w:ascii="黑体" w:eastAsia="黑体"/>
          <w:sz w:val="32"/>
        </w:rPr>
        <w:t>附件1</w:t>
      </w:r>
    </w:p>
    <w:p>
      <w:pPr>
        <w:jc w:val="center"/>
        <w:rPr>
          <w:rFonts w:hint="eastAsia" w:ascii="方正小标宋简体" w:hAnsi="华文中宋" w:eastAsia="方正小标宋简体"/>
          <w:sz w:val="36"/>
          <w:szCs w:val="36"/>
        </w:rPr>
      </w:pPr>
      <w:bookmarkStart w:id="0" w:name="_GoBack"/>
      <w:r>
        <w:rPr>
          <w:rFonts w:hint="eastAsia" w:ascii="方正小标宋简体" w:hAnsi="华文中宋" w:eastAsia="方正小标宋简体"/>
          <w:sz w:val="36"/>
          <w:szCs w:val="36"/>
        </w:rPr>
        <w:t>2019年上海高职高专院校市级教师教学创新团队</w:t>
      </w:r>
    </w:p>
    <w:bookmarkEnd w:id="0"/>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评选指标</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1"/>
        <w:gridCol w:w="6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2211" w:type="dxa"/>
            <w:noWrap w:val="0"/>
            <w:vAlign w:val="center"/>
          </w:tcPr>
          <w:p>
            <w:pPr>
              <w:jc w:val="center"/>
              <w:rPr>
                <w:rFonts w:hint="eastAsia" w:ascii="仿宋_GB2312" w:hAnsi="宋体" w:eastAsia="仿宋_GB2312"/>
                <w:sz w:val="24"/>
                <w:szCs w:val="24"/>
              </w:rPr>
            </w:pPr>
            <w:r>
              <w:rPr>
                <w:rFonts w:hint="eastAsia" w:ascii="仿宋_GB2312" w:hAnsi="宋体" w:eastAsia="仿宋_GB2312"/>
                <w:bCs/>
                <w:sz w:val="24"/>
                <w:szCs w:val="24"/>
              </w:rPr>
              <w:t>评审指标</w:t>
            </w:r>
          </w:p>
        </w:tc>
        <w:tc>
          <w:tcPr>
            <w:tcW w:w="6790" w:type="dxa"/>
            <w:noWrap w:val="0"/>
            <w:vAlign w:val="center"/>
          </w:tcPr>
          <w:p>
            <w:pPr>
              <w:jc w:val="center"/>
              <w:rPr>
                <w:rFonts w:hint="eastAsia" w:ascii="仿宋_GB2312" w:hAnsi="宋体" w:eastAsia="仿宋_GB2312"/>
                <w:sz w:val="24"/>
                <w:szCs w:val="24"/>
              </w:rPr>
            </w:pPr>
            <w:r>
              <w:rPr>
                <w:rFonts w:hint="eastAsia" w:ascii="仿宋_GB2312" w:hAnsi="宋体" w:eastAsia="仿宋_GB2312"/>
                <w:bCs/>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2211" w:type="dxa"/>
            <w:noWrap w:val="0"/>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团队师德师风高尚</w:t>
            </w:r>
          </w:p>
        </w:tc>
        <w:tc>
          <w:tcPr>
            <w:tcW w:w="6790" w:type="dxa"/>
            <w:noWrap w:val="0"/>
            <w:vAlign w:val="center"/>
          </w:tcPr>
          <w:p>
            <w:pPr>
              <w:spacing w:line="320" w:lineRule="exact"/>
              <w:rPr>
                <w:rFonts w:hint="eastAsia" w:ascii="仿宋_GB2312" w:hAnsi="宋体" w:eastAsia="仿宋_GB2312"/>
                <w:sz w:val="24"/>
                <w:szCs w:val="24"/>
              </w:rPr>
            </w:pPr>
            <w:r>
              <w:rPr>
                <w:rFonts w:hint="eastAsia" w:ascii="仿宋_GB2312" w:hAnsi="宋体" w:eastAsia="仿宋_GB2312"/>
                <w:sz w:val="24"/>
                <w:szCs w:val="24"/>
              </w:rPr>
              <w:t>全面贯彻党的教育方针，坚持“四个相统一”，推动全员全过程全方位“三全育人”。团队教师注重坚守专业精神、职业精神和工匠精神，践行社会主义核心价值观，以德立身、以德立学、以德立教，广受师生好评。团队负责人及教师无违反师德师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2211" w:type="dxa"/>
            <w:noWrap w:val="0"/>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团队结构科学合理</w:t>
            </w:r>
          </w:p>
        </w:tc>
        <w:tc>
          <w:tcPr>
            <w:tcW w:w="6790" w:type="dxa"/>
            <w:noWrap w:val="0"/>
            <w:vAlign w:val="center"/>
          </w:tcPr>
          <w:p>
            <w:pPr>
              <w:spacing w:line="320" w:lineRule="exact"/>
              <w:rPr>
                <w:rFonts w:hint="eastAsia" w:ascii="仿宋_GB2312" w:hAnsi="宋体" w:eastAsia="仿宋_GB2312"/>
                <w:sz w:val="24"/>
                <w:szCs w:val="24"/>
              </w:rPr>
            </w:pPr>
            <w:r>
              <w:rPr>
                <w:rFonts w:hint="eastAsia" w:ascii="仿宋_GB2312" w:hAnsi="宋体" w:eastAsia="仿宋_GB2312"/>
                <w:sz w:val="24"/>
                <w:szCs w:val="24"/>
              </w:rPr>
              <w:t>团队专业结构和年龄结构合理，涵盖公共基础课、专业基础课、专业核心课、实习指导教师和企业兼职教师，骨干成员一般5至10人且相对稳定。团队中“双师型”教师占比超过一半，具有高级专业技术职称（职务）或相关高级以上职业资格证教师占40%以上；骨干成员有五年以上相关工作经验的行业企业高级技术人员兼职任教不少于3人。团队围绕专业建设与教学开展校企合作，团队成员共同设计、开发和实施专业人才培养方案，人才培养和社会服务成效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trPr>
        <w:tc>
          <w:tcPr>
            <w:tcW w:w="2211" w:type="dxa"/>
            <w:tcBorders>
              <w:bottom w:val="single" w:color="000000" w:sz="4" w:space="0"/>
            </w:tcBorders>
            <w:noWrap w:val="0"/>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保障措施完善健全</w:t>
            </w:r>
          </w:p>
        </w:tc>
        <w:tc>
          <w:tcPr>
            <w:tcW w:w="6790" w:type="dxa"/>
            <w:tcBorders>
              <w:bottom w:val="single" w:color="000000" w:sz="4" w:space="0"/>
            </w:tcBorders>
            <w:noWrap w:val="0"/>
            <w:vAlign w:val="center"/>
          </w:tcPr>
          <w:p>
            <w:pPr>
              <w:spacing w:line="320" w:lineRule="exact"/>
              <w:jc w:val="left"/>
              <w:rPr>
                <w:rFonts w:hint="eastAsia" w:ascii="仿宋_GB2312" w:hAnsi="宋体" w:eastAsia="仿宋_GB2312"/>
                <w:sz w:val="24"/>
                <w:szCs w:val="24"/>
              </w:rPr>
            </w:pPr>
            <w:r>
              <w:rPr>
                <w:rFonts w:hint="eastAsia" w:ascii="仿宋_GB2312" w:hAnsi="宋体" w:eastAsia="仿宋_GB2312"/>
                <w:sz w:val="24"/>
                <w:szCs w:val="24"/>
              </w:rPr>
              <w:t>学校层面：学校高度重视，列为一把手工程，由学校主要负责人牵头成立团队建设工作专班，加强组织管理，充分保证团队建设所需经费并纳入年度预算。具有长期稳定的合作企业和产教融合实训基地，实习实训设施设备先进，能够满足专业实际需要。建有教师发展中心（机构），教师专业发展制度健全。具有学分制改革的工作基础；团队层面：通过校企双方有效的管理制度，保证团队中兼职教师的来源、数量和质量，确保团队专任教师到企业开展实践的常态化和有效性。根据专业人才培养需要，学校专任教师和行业企业兼职教师发挥各自优势，团结协作，形成基础性课程主要由专任教师完成、实践技能课程主要由具有相应高技能水平的兼职教师讲授的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trPr>
        <w:tc>
          <w:tcPr>
            <w:tcW w:w="2211" w:type="dxa"/>
            <w:noWrap w:val="0"/>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团队负责人能力突出</w:t>
            </w:r>
          </w:p>
        </w:tc>
        <w:tc>
          <w:tcPr>
            <w:tcW w:w="6790" w:type="dxa"/>
            <w:noWrap w:val="0"/>
            <w:vAlign w:val="center"/>
          </w:tcPr>
          <w:p>
            <w:pPr>
              <w:spacing w:line="320" w:lineRule="exact"/>
              <w:jc w:val="left"/>
              <w:rPr>
                <w:rFonts w:hint="eastAsia" w:ascii="仿宋_GB2312" w:hAnsi="宋体" w:eastAsia="仿宋_GB2312"/>
                <w:sz w:val="24"/>
                <w:szCs w:val="24"/>
              </w:rPr>
            </w:pPr>
            <w:r>
              <w:rPr>
                <w:rFonts w:hint="eastAsia" w:ascii="仿宋_GB2312" w:hAnsi="宋体" w:eastAsia="仿宋_GB2312"/>
                <w:sz w:val="24"/>
                <w:szCs w:val="24"/>
              </w:rPr>
              <w:t>带头人师德高尚、事业心强、理念先进、治学严谨、富有开拓创新精神。原则上应具有高级职称，年轻一般不超过55周岁。每学年承担教学工作量超过80学时。教科研能力强，在本行业的技术领域有一定的影响力和较高的知名度；具有企业技术服务或技术研发经历。善于整合与利用社会资源，通过有效的团队管理，形成团队凝聚力和创造力；能及时跟踪产业发展趋势和行业动态，准确把握专业建设与教学改革方向，保持专业建设的领先水平；能结合校企实际、针对专业发展方向，制订切实可行的团队建设规划和教师职业生涯规划，实现团队的可持续发展。带头人拥有市级精品课程（含在线开放课程）、牵头建有市级以上“双师型”名师工作室、教师技艺技能传承创新平台、技能大师工作室的团队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2211" w:type="dxa"/>
            <w:noWrap w:val="0"/>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教学改革基础良好</w:t>
            </w:r>
          </w:p>
        </w:tc>
        <w:tc>
          <w:tcPr>
            <w:tcW w:w="6790" w:type="dxa"/>
            <w:noWrap w:val="0"/>
            <w:vAlign w:val="center"/>
          </w:tcPr>
          <w:p>
            <w:pPr>
              <w:spacing w:line="320" w:lineRule="exact"/>
              <w:jc w:val="left"/>
              <w:rPr>
                <w:rFonts w:hint="eastAsia" w:ascii="仿宋_GB2312" w:eastAsia="仿宋_GB2312"/>
                <w:bCs/>
                <w:sz w:val="24"/>
                <w:szCs w:val="24"/>
              </w:rPr>
            </w:pPr>
            <w:r>
              <w:rPr>
                <w:rFonts w:hint="eastAsia" w:ascii="仿宋_GB2312" w:eastAsia="仿宋_GB2312"/>
                <w:bCs/>
                <w:sz w:val="24"/>
                <w:szCs w:val="24"/>
              </w:rPr>
              <w:t>学校重视教育教学改革与研究，及时将最新研发成果融入教学，推动信息技术与教育教学融合创新，承担国家职业教育专业教学资源库和国家在线开放课程（含资源共享课程、精品视频公开课程等）开发，并广泛应用于教学实践。教学改革项目获得国家级（市级）教学成果奖或建有全国黄大年式教师教学创新团队的同等条件下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2211" w:type="dxa"/>
            <w:noWrap w:val="0"/>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专业特色优势明显</w:t>
            </w:r>
          </w:p>
        </w:tc>
        <w:tc>
          <w:tcPr>
            <w:tcW w:w="6790" w:type="dxa"/>
            <w:noWrap w:val="0"/>
            <w:vAlign w:val="center"/>
          </w:tcPr>
          <w:p>
            <w:pPr>
              <w:spacing w:line="320" w:lineRule="exact"/>
              <w:jc w:val="left"/>
              <w:rPr>
                <w:rFonts w:hint="eastAsia" w:ascii="仿宋_GB2312" w:eastAsia="仿宋_GB2312"/>
                <w:bCs/>
                <w:sz w:val="24"/>
                <w:szCs w:val="24"/>
              </w:rPr>
            </w:pPr>
            <w:r>
              <w:rPr>
                <w:rFonts w:hint="eastAsia" w:ascii="仿宋_GB2312" w:eastAsia="仿宋_GB2312"/>
                <w:bCs/>
                <w:sz w:val="24"/>
                <w:szCs w:val="24"/>
              </w:rPr>
              <w:t>校企合作基础良好，积极承担集团化办学、现代学徒制试点、订单培养等工作，承接过国家或地方、企业重大科技攻关项目或研究课题。学生毕业生对口就业率高，师生在全国职业院校技能大赛中获奖。中国特色高水平高职学校和专业建设计划入选专业、本市一流专科高等职业教育专业优先。具备一定的中外合作基础，推动人才培养的国际交流与合作成效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211" w:type="dxa"/>
            <w:noWrap w:val="0"/>
            <w:vAlign w:val="center"/>
          </w:tcPr>
          <w:p>
            <w:pPr>
              <w:spacing w:line="320" w:lineRule="exact"/>
              <w:jc w:val="left"/>
              <w:rPr>
                <w:rFonts w:hint="eastAsia" w:ascii="仿宋_GB2312" w:hAnsi="宋体" w:eastAsia="仿宋_GB2312"/>
                <w:sz w:val="24"/>
                <w:szCs w:val="24"/>
              </w:rPr>
            </w:pPr>
            <w:r>
              <w:rPr>
                <w:rFonts w:hint="eastAsia" w:ascii="仿宋_GB2312" w:hAnsi="宋体" w:eastAsia="仿宋_GB2312"/>
                <w:sz w:val="24"/>
                <w:szCs w:val="24"/>
              </w:rPr>
              <w:t>校企合作情况良好</w:t>
            </w:r>
          </w:p>
        </w:tc>
        <w:tc>
          <w:tcPr>
            <w:tcW w:w="6790" w:type="dxa"/>
            <w:noWrap w:val="0"/>
            <w:vAlign w:val="center"/>
          </w:tcPr>
          <w:p>
            <w:pPr>
              <w:spacing w:line="320" w:lineRule="exact"/>
              <w:jc w:val="left"/>
              <w:rPr>
                <w:rFonts w:hint="eastAsia" w:ascii="仿宋_GB2312" w:hAnsi="宋体" w:eastAsia="仿宋_GB2312"/>
                <w:sz w:val="24"/>
                <w:szCs w:val="24"/>
              </w:rPr>
            </w:pPr>
            <w:r>
              <w:rPr>
                <w:rFonts w:hint="eastAsia" w:ascii="仿宋_GB2312" w:hAnsi="宋体" w:eastAsia="仿宋_GB2312"/>
                <w:sz w:val="24"/>
                <w:szCs w:val="24"/>
              </w:rPr>
              <w:t>团队成员共同参与校企合作课程的开发、工学结合教材的建设、产教融合的产品研发及企业横向课题研究，成果显著。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2211" w:type="dxa"/>
            <w:noWrap w:val="0"/>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社会服务成效突出</w:t>
            </w:r>
          </w:p>
        </w:tc>
        <w:tc>
          <w:tcPr>
            <w:tcW w:w="6790" w:type="dxa"/>
            <w:noWrap w:val="0"/>
            <w:vAlign w:val="center"/>
          </w:tcPr>
          <w:p>
            <w:pPr>
              <w:spacing w:line="320" w:lineRule="exact"/>
              <w:jc w:val="left"/>
              <w:rPr>
                <w:rFonts w:hint="eastAsia" w:ascii="仿宋_GB2312" w:hAnsi="宋体" w:eastAsia="仿宋_GB2312"/>
                <w:sz w:val="24"/>
                <w:szCs w:val="24"/>
              </w:rPr>
            </w:pPr>
            <w:r>
              <w:rPr>
                <w:rFonts w:hint="eastAsia" w:ascii="仿宋_GB2312" w:hAnsi="宋体" w:eastAsia="仿宋_GB2312"/>
                <w:sz w:val="24"/>
                <w:szCs w:val="24"/>
              </w:rPr>
              <w:t>依托团队人力资源和技术优势，开展职业培训、技能鉴定、技术服务等社会服务，具有良好的社会声誉。参与人力资源和社会保障部门或行业培训的团队优先。</w:t>
            </w:r>
          </w:p>
        </w:tc>
      </w:tr>
    </w:tbl>
    <w:p>
      <w:pPr>
        <w:spacing w:before="156" w:beforeLines="50" w:line="360" w:lineRule="auto"/>
        <w:rPr>
          <w:rFonts w:hint="eastAsia" w:ascii="黑体" w:eastAsia="黑体"/>
          <w:bCs/>
          <w:color w:val="000000"/>
          <w:sz w:val="32"/>
          <w:szCs w:val="32"/>
        </w:rPr>
      </w:pPr>
    </w:p>
    <w:p>
      <w:pPr>
        <w:spacing w:before="156" w:beforeLines="50" w:line="360" w:lineRule="auto"/>
        <w:rPr>
          <w:rFonts w:hint="eastAsia" w:ascii="黑体" w:eastAsia="黑体"/>
          <w:bCs/>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0793D"/>
    <w:rsid w:val="3660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2019-11-06T04:42:00Z</dcterms:created>
  <dc:creator>SYF™</dc:creator>
  <cp:lastModifiedBy>SYF™</cp:lastModifiedBy>
  <dcterms:modified xsi:type="dcterms:W3CDTF">2019-11-06T04:43:41Z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