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0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第十一届“中华杯”新能源汽车充电桩安装与调试竞赛</w:t>
      </w:r>
      <w:r>
        <w:rPr>
          <w:rFonts w:ascii="宋体" w:hAnsi="宋体" w:eastAsia="宋体"/>
          <w:b/>
          <w:sz w:val="28"/>
          <w:szCs w:val="28"/>
        </w:rPr>
        <w:t>方案</w:t>
      </w:r>
    </w:p>
    <w:p>
      <w:pPr>
        <w:spacing w:after="0" w:line="500" w:lineRule="exact"/>
        <w:jc w:val="center"/>
        <w:rPr>
          <w:rFonts w:ascii="宋体" w:hAnsi="宋体" w:eastAsia="宋体"/>
          <w:b/>
          <w:sz w:val="28"/>
          <w:szCs w:val="28"/>
        </w:rPr>
      </w:pPr>
    </w:p>
    <w:p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left="98" w:leftChars="0" w:firstLine="562"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秉承中华职业教育社优良传统，大力弘扬工匠精神，坚持“面向社会、面向青年、面向技能”的竞赛宗旨，为具有新能源汽车维修技能的职业院校教师搭建展示技艺的平台，提供切磋交流的载体，促进新能源汽车维修服务相关专业的发展，营造崇尚技能、匠心筑梦的良好社会氛围，服务国家新能源汽车产业发展战略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left="98" w:leftChars="0" w:firstLine="562"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主办单位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上海中华职业教育社、上海市人力资源和社会保障局、上海市教育委员会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left="98" w:leftChars="0" w:firstLine="562"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承办协办单位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松江区中华职业教育社、上海科创职业技术学院、上海市城市科技学校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left="98" w:leftChars="0" w:firstLine="562"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竞赛对象</w:t>
      </w:r>
    </w:p>
    <w:p>
      <w:pPr>
        <w:keepNext w:val="0"/>
        <w:keepLines w:val="0"/>
        <w:pageBreakBefore w:val="0"/>
        <w:widowControl/>
        <w:tabs>
          <w:tab w:val="right" w:pos="774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本市及长三角地区职业院校专业教师（包括实习指导教师）、社会培训机构培训教师、企业培训教师。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left="98" w:leftChars="0" w:firstLine="562"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报名办法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报名日期：2023年10月1日前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报名时填写“报名表”，可用电子邮件形式通过网上报名。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报名邮箱地址：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"mailto:526759136@qq.com"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8"/>
          <w:rFonts w:hint="eastAsia" w:ascii="宋体" w:hAnsi="宋体" w:eastAsia="宋体" w:cs="宋体"/>
          <w:sz w:val="28"/>
          <w:szCs w:val="28"/>
        </w:rPr>
        <w:t>122079566@qq.com</w:t>
      </w:r>
      <w:r>
        <w:rPr>
          <w:rStyle w:val="8"/>
          <w:rFonts w:hint="eastAsia" w:ascii="宋体" w:hAnsi="宋体" w:eastAsia="宋体" w:cs="宋体"/>
          <w:sz w:val="28"/>
          <w:szCs w:val="28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联系人</w:t>
      </w:r>
      <w:r>
        <w:rPr>
          <w:rFonts w:hint="eastAsia" w:ascii="宋体" w:hAnsi="宋体" w:eastAsia="宋体" w:cs="宋体"/>
          <w:sz w:val="28"/>
          <w:szCs w:val="28"/>
        </w:rPr>
        <w:t>：陈日骏 18918289620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left="98" w:leftChars="0" w:firstLine="562"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参赛规则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1、该竞赛项目为小组赛，每个参赛队2名选手,按抽签顺序号进行比赛。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2、在竞赛开始前20分钟到达赛场做好赛前准备工作，抽签确定比赛顺序。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3、迟到15分钟及以上者取消参赛资格。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4、比赛全过程应严格按照安全操作规程操作。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5、选手必须严格遵守考场有关规定，严禁作弊或代考，自觉服从裁判长、裁判员、考场工作人员的管理。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6、选手着装、用品等在外观上不应显示选手所在单位等个人信息。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7、比赛期间，参赛选手应严格按照劳动保护规定穿戴工作服、绝缘鞋、护目镜、面罩等劳动防护用品。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8、竞赛期间应接受裁判员、现场技术服务人员的监督和警示，确保人身安全。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left="98" w:leftChars="0" w:firstLine="562" w:firstLineChars="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竞赛内容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新能源汽车充电桩安装与调试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z w:val="28"/>
          <w:szCs w:val="28"/>
        </w:rPr>
        <w:t>)作业要求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规定60分钟时间内，要求参赛队以小组作业的方式，按照国家标准、生产制造厂家技术规范，完成对交流充电桩组件安装、线路连接、供电环境检测、通电测试、对故障元件或电路进行维修、充电桩初始化设置与充电验证、作业现场整理。要求作业规范、务实、安全、环保，正确使用工量具及仪器，并完整准确填写《充电设备装调与检修作业记录表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>)考核要点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按照充电设备装调与检修要求，在规定时间内完成作业流程，发现和确认故障点(2-3处)。重点考核选手操作规范流程，包括对电源、控制板、接触器、断路器、电表、指示灯、触摸控制屏、充电枪、高低压线束等清洁、检查与装配，并进行供电环境检查、电路元件检测、充电信号检测、充电参数初始化设置等。要求较熟练地查阅设备使用手册，正确地使用工量具和仪器设备，准确测量技术参数，按照要求在记录表上记录作业过程和测试数据，做到安全文明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sz w:val="28"/>
          <w:szCs w:val="28"/>
        </w:rPr>
        <w:t>)作业设备参数</w:t>
      </w:r>
    </w:p>
    <w:p>
      <w:pPr>
        <w:spacing w:after="0" w:line="276" w:lineRule="auto"/>
        <w:jc w:val="center"/>
        <w:rPr>
          <w:rFonts w:ascii="宋体" w:hAnsi="宋体" w:eastAsia="宋体"/>
          <w:sz w:val="28"/>
          <w:szCs w:val="28"/>
        </w:rPr>
      </w:pPr>
      <w:r>
        <w:drawing>
          <wp:inline distT="0" distB="0" distL="0" distR="0">
            <wp:extent cx="5203190" cy="3340100"/>
            <wp:effectExtent l="0" t="0" r="0" b="0"/>
            <wp:docPr id="1" name="图片 1" descr="C:\Users\张岩\AppData\Roaming\Seewo\EasiNote5\Data\15317870029\Courseware\18a3f60b-51ff-463e-a96b-75dea401868e\4c88e22622870e08a81e52c574e6c80f_U3015.656iydyfjl0.i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张岩\AppData\Roaming\Seewo\EasiNote5\Data\15317870029\Courseware\18a3f60b-51ff-463e-a96b-75dea401868e\4c88e22622870e08a81e52c574e6c80f_U3015.656iydyfjl0.ie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8695" cy="338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76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sz w:val="28"/>
          <w:szCs w:val="28"/>
        </w:rPr>
        <w:t>）拟定评分标准：</w:t>
      </w:r>
    </w:p>
    <w:p>
      <w:pPr>
        <w:pStyle w:val="2"/>
        <w:spacing w:line="306" w:lineRule="exact"/>
        <w:ind w:firstLine="562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元器件装配与线路连接检查</w:t>
      </w:r>
    </w:p>
    <w:tbl>
      <w:tblPr>
        <w:tblStyle w:val="6"/>
        <w:tblW w:w="0" w:type="auto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4876"/>
        <w:gridCol w:w="699"/>
        <w:gridCol w:w="691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作业内容</w:t>
            </w:r>
          </w:p>
        </w:tc>
        <w:tc>
          <w:tcPr>
            <w:tcW w:w="4876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评分要点（各竞赛环节漏项或累计最多扣相应配分）</w:t>
            </w:r>
          </w:p>
        </w:tc>
        <w:tc>
          <w:tcPr>
            <w:tcW w:w="699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配分</w:t>
            </w:r>
          </w:p>
        </w:tc>
        <w:tc>
          <w:tcPr>
            <w:tcW w:w="691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 w:ascii="微软雅黑" w:hAnsi="微软雅黑" w:cs="微软雅黑"/>
                <w:b/>
                <w:bCs/>
                <w:sz w:val="18"/>
                <w:szCs w:val="18"/>
              </w:rPr>
              <w:t>扣</w:t>
            </w: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分</w:t>
            </w:r>
          </w:p>
        </w:tc>
        <w:tc>
          <w:tcPr>
            <w:tcW w:w="1024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判罚依据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pStyle w:val="10"/>
              <w:widowControl w:val="0"/>
              <w:spacing w:line="303" w:lineRule="exact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作业准备</w:t>
            </w:r>
          </w:p>
          <w:p>
            <w:pPr>
              <w:pStyle w:val="10"/>
              <w:widowControl w:val="0"/>
              <w:spacing w:line="303" w:lineRule="exact"/>
              <w:jc w:val="center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-场地准备</w:t>
            </w:r>
          </w:p>
        </w:tc>
        <w:tc>
          <w:tcPr>
            <w:tcW w:w="4876" w:type="dxa"/>
          </w:tcPr>
          <w:p>
            <w:pPr>
              <w:pStyle w:val="10"/>
              <w:widowControl w:val="0"/>
              <w:spacing w:line="303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未检查设置隔离栏、安全警示牌；</w:t>
            </w:r>
          </w:p>
          <w:p>
            <w:pPr>
              <w:widowControl w:val="0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未检查灭火器压力值（水基、干粉）；</w:t>
            </w:r>
          </w:p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99" w:type="dxa"/>
            <w:vAlign w:val="center"/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pStyle w:val="10"/>
              <w:widowControl w:val="0"/>
              <w:spacing w:line="344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作业准备</w:t>
            </w:r>
          </w:p>
          <w:p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-检查防护套装</w:t>
            </w:r>
          </w:p>
        </w:tc>
        <w:tc>
          <w:tcPr>
            <w:tcW w:w="4876" w:type="dxa"/>
          </w:tcPr>
          <w:p>
            <w:pPr>
              <w:pStyle w:val="10"/>
              <w:widowControl w:val="0"/>
              <w:spacing w:line="283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未检查绝缘手套密封性或检查时未密封；</w:t>
            </w:r>
          </w:p>
          <w:p>
            <w:pPr>
              <w:pStyle w:val="10"/>
              <w:widowControl w:val="0"/>
              <w:spacing w:line="283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rFonts w:ascii="微软雅黑" w:hAnsi="微软雅黑" w:cs="微软雅黑"/>
                <w:sz w:val="18"/>
                <w:szCs w:val="18"/>
              </w:rPr>
              <w:t>未检查绝缘防护手套的耐压等级；</w:t>
            </w:r>
          </w:p>
          <w:p>
            <w:pPr>
              <w:pStyle w:val="10"/>
              <w:widowControl w:val="0"/>
              <w:spacing w:line="283" w:lineRule="exact"/>
              <w:jc w:val="both"/>
              <w:rPr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99" w:type="dxa"/>
            <w:vAlign w:val="center"/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pStyle w:val="10"/>
              <w:widowControl w:val="0"/>
              <w:spacing w:line="344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作业准备</w:t>
            </w:r>
          </w:p>
          <w:p>
            <w:pPr>
              <w:widowControl w:val="0"/>
              <w:jc w:val="center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-检查工具套装</w:t>
            </w:r>
          </w:p>
        </w:tc>
        <w:tc>
          <w:tcPr>
            <w:tcW w:w="4876" w:type="dxa"/>
          </w:tcPr>
          <w:p>
            <w:pPr>
              <w:pStyle w:val="10"/>
              <w:widowControl w:val="0"/>
              <w:spacing w:line="283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rFonts w:ascii="微软雅黑" w:hAnsi="微软雅黑" w:cs="微软雅黑"/>
                <w:sz w:val="18"/>
                <w:szCs w:val="18"/>
              </w:rPr>
              <w:t>未进行数字绝缘测试仪开路检测并确认电阻无穷大；</w:t>
            </w:r>
          </w:p>
          <w:p>
            <w:pPr>
              <w:pStyle w:val="10"/>
              <w:widowControl w:val="0"/>
              <w:spacing w:line="283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未进行数字绝缘测试仪短路检测并确认电阻＜1Ω；</w:t>
            </w:r>
          </w:p>
          <w:p>
            <w:pPr>
              <w:pStyle w:val="10"/>
              <w:widowControl w:val="0"/>
              <w:spacing w:line="283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99" w:type="dxa"/>
            <w:vAlign w:val="center"/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检查作业</w:t>
            </w:r>
          </w:p>
        </w:tc>
        <w:tc>
          <w:tcPr>
            <w:tcW w:w="4876" w:type="dxa"/>
          </w:tcPr>
          <w:p>
            <w:pPr>
              <w:pStyle w:val="10"/>
              <w:widowControl w:val="0"/>
              <w:spacing w:line="284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rFonts w:ascii="微软雅黑" w:hAnsi="微软雅黑" w:cs="微软雅黑"/>
                <w:sz w:val="18"/>
                <w:szCs w:val="18"/>
              </w:rPr>
              <w:t>未检查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交</w:t>
            </w:r>
            <w:r>
              <w:rPr>
                <w:rFonts w:ascii="微软雅黑" w:hAnsi="微软雅黑" w:cs="微软雅黑"/>
                <w:sz w:val="18"/>
                <w:szCs w:val="18"/>
              </w:rPr>
              <w:t>流充电桩侧外观有无刮花（大小），掉漆（程度），砂眼，孔洞，杂色，变形等，桩体内外是否干净整洁；</w:t>
            </w:r>
          </w:p>
          <w:p>
            <w:pPr>
              <w:pStyle w:val="10"/>
              <w:widowControl w:val="0"/>
              <w:spacing w:line="284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上述如有异常且未报告；</w:t>
            </w:r>
          </w:p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99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691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1024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</w:tbl>
    <w:p>
      <w:pPr>
        <w:pStyle w:val="2"/>
        <w:spacing w:line="306" w:lineRule="exact"/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交流充电桩检测调试</w:t>
      </w:r>
    </w:p>
    <w:tbl>
      <w:tblPr>
        <w:tblStyle w:val="6"/>
        <w:tblW w:w="8305" w:type="dxa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667"/>
        <w:gridCol w:w="4218"/>
        <w:gridCol w:w="680"/>
        <w:gridCol w:w="700"/>
        <w:gridCol w:w="1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作业</w:t>
            </w:r>
            <w:r>
              <w:rPr>
                <w:rFonts w:hint="eastAsia" w:ascii="微软雅黑" w:hAnsi="微软雅黑" w:cs="微软雅黑"/>
                <w:b/>
                <w:bCs/>
                <w:sz w:val="18"/>
                <w:szCs w:val="18"/>
              </w:rPr>
              <w:t>内</w:t>
            </w: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容</w:t>
            </w:r>
          </w:p>
        </w:tc>
        <w:tc>
          <w:tcPr>
            <w:tcW w:w="4885" w:type="dxa"/>
            <w:gridSpan w:val="2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评分要点（各竞赛环节漏项或累计最多扣相应配分）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配分</w:t>
            </w: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 w:ascii="微软雅黑" w:hAnsi="微软雅黑" w:cs="微软雅黑"/>
                <w:b/>
                <w:bCs/>
                <w:sz w:val="18"/>
                <w:szCs w:val="18"/>
              </w:rPr>
              <w:t>扣</w:t>
            </w: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分</w:t>
            </w: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判罚依据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Cs/>
                <w:sz w:val="18"/>
                <w:szCs w:val="18"/>
              </w:rPr>
            </w:pPr>
            <w:r>
              <w:rPr>
                <w:rFonts w:ascii="微软雅黑" w:hAnsi="微软雅黑" w:cs="微软雅黑"/>
                <w:bCs/>
                <w:sz w:val="18"/>
                <w:szCs w:val="18"/>
              </w:rPr>
              <w:t>安全作业</w:t>
            </w:r>
          </w:p>
        </w:tc>
        <w:tc>
          <w:tcPr>
            <w:tcW w:w="4885" w:type="dxa"/>
            <w:gridSpan w:val="2"/>
          </w:tcPr>
          <w:p>
            <w:pPr>
              <w:widowControl w:val="0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rFonts w:ascii="微软雅黑" w:hAnsi="微软雅黑" w:cs="微软雅黑"/>
                <w:sz w:val="18"/>
                <w:szCs w:val="18"/>
              </w:rPr>
              <w:t>在进行</w:t>
            </w: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绝缘性检测时</w:t>
            </w:r>
            <w:r>
              <w:rPr>
                <w:rFonts w:ascii="微软雅黑" w:hAnsi="微软雅黑" w:cs="微软雅黑"/>
                <w:sz w:val="18"/>
                <w:szCs w:val="18"/>
              </w:rPr>
              <w:t xml:space="preserve">未全程佩戴绝缘手套、护目镜的扣 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2</w:t>
            </w:r>
            <w:r>
              <w:rPr>
                <w:rFonts w:ascii="微软雅黑" w:hAnsi="微软雅黑" w:cs="微软雅黑"/>
                <w:sz w:val="18"/>
                <w:szCs w:val="18"/>
              </w:rPr>
              <w:t>分，裁判提示佩戴；断开桩体接地螺栓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，</w:t>
            </w:r>
            <w:r>
              <w:rPr>
                <w:rFonts w:ascii="微软雅黑" w:hAnsi="微软雅黑" w:cs="微软雅黑"/>
                <w:sz w:val="18"/>
                <w:szCs w:val="18"/>
              </w:rPr>
              <w:t>未对接地线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绝缘保护</w:t>
            </w:r>
            <w:r>
              <w:rPr>
                <w:rFonts w:ascii="微软雅黑" w:hAnsi="微软雅黑" w:cs="微软雅黑"/>
                <w:sz w:val="18"/>
                <w:szCs w:val="18"/>
              </w:rPr>
              <w:t>的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；</w:t>
            </w:r>
          </w:p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Cs/>
                <w:sz w:val="18"/>
                <w:szCs w:val="18"/>
              </w:rPr>
            </w:pPr>
            <w:r>
              <w:rPr>
                <w:rFonts w:ascii="微软雅黑" w:hAnsi="微软雅黑" w:cs="微软雅黑"/>
                <w:bCs/>
                <w:sz w:val="18"/>
                <w:szCs w:val="18"/>
              </w:rPr>
              <w:t>接地电阻测试</w:t>
            </w:r>
          </w:p>
        </w:tc>
        <w:tc>
          <w:tcPr>
            <w:tcW w:w="4885" w:type="dxa"/>
            <w:gridSpan w:val="2"/>
          </w:tcPr>
          <w:p>
            <w:pPr>
              <w:pStyle w:val="10"/>
              <w:widowControl w:val="0"/>
              <w:spacing w:line="302" w:lineRule="exact"/>
              <w:jc w:val="both"/>
              <w:rPr>
                <w:rFonts w:ascii="Wingdings 2" w:hAnsi="Wingdings 2" w:eastAsia="Wingdings 2" w:cs="Wingdings 2"/>
                <w:spacing w:val="-3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pacing w:val="-3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pacing w:val="-3"/>
                <w:sz w:val="18"/>
                <w:szCs w:val="18"/>
              </w:rPr>
              <w:t>未正确使用</w:t>
            </w:r>
            <w:r>
              <w:rPr>
                <w:rFonts w:hint="eastAsia" w:ascii="微软雅黑" w:hAnsi="微软雅黑" w:cs="微软雅黑"/>
                <w:spacing w:val="-3"/>
                <w:sz w:val="18"/>
                <w:szCs w:val="18"/>
              </w:rPr>
              <w:t>接地电阻仪</w:t>
            </w:r>
            <w:r>
              <w:rPr>
                <w:rFonts w:ascii="微软雅黑" w:hAnsi="微软雅黑" w:cs="微软雅黑"/>
                <w:spacing w:val="-3"/>
                <w:sz w:val="18"/>
                <w:szCs w:val="18"/>
              </w:rPr>
              <w:t>（按下“TEST”）</w:t>
            </w:r>
            <w:r>
              <w:rPr>
                <w:rFonts w:hint="eastAsia" w:ascii="微软雅黑" w:hAnsi="微软雅黑" w:cs="微软雅黑"/>
                <w:spacing w:val="-3"/>
                <w:sz w:val="18"/>
                <w:szCs w:val="18"/>
              </w:rPr>
              <w:t>分别检测桩门与桩体、充电枪和AC控制模块PE接点的接地电阻；</w:t>
            </w:r>
          </w:p>
          <w:p>
            <w:pPr>
              <w:widowControl w:val="0"/>
              <w:jc w:val="both"/>
              <w:rPr>
                <w:rFonts w:ascii="微软雅黑" w:hAnsi="微软雅黑" w:cs="微软雅黑"/>
                <w:spacing w:val="-3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未正确读出（需等待读数稳定）</w:t>
            </w:r>
            <w:r>
              <w:rPr>
                <w:rFonts w:ascii="微软雅黑" w:hAnsi="微软雅黑" w:cs="微软雅黑"/>
                <w:spacing w:val="-3"/>
                <w:sz w:val="18"/>
                <w:szCs w:val="18"/>
              </w:rPr>
              <w:t>测试结果并记录；</w:t>
            </w:r>
          </w:p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  <w:vMerge w:val="restart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Cs/>
                <w:sz w:val="18"/>
                <w:szCs w:val="18"/>
              </w:rPr>
              <w:t>L与</w:t>
            </w:r>
            <w:r>
              <w:rPr>
                <w:rFonts w:hint="eastAsia" w:ascii="微软雅黑" w:hAnsi="微软雅黑" w:cs="微软雅黑"/>
                <w:bCs/>
                <w:sz w:val="18"/>
                <w:szCs w:val="18"/>
              </w:rPr>
              <w:t>N线检查</w:t>
            </w:r>
          </w:p>
        </w:tc>
        <w:tc>
          <w:tcPr>
            <w:tcW w:w="667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单相断路器</w:t>
            </w:r>
          </w:p>
        </w:tc>
        <w:tc>
          <w:tcPr>
            <w:tcW w:w="4218" w:type="dxa"/>
          </w:tcPr>
          <w:p>
            <w:pPr>
              <w:pStyle w:val="10"/>
              <w:widowControl w:val="0"/>
              <w:spacing w:line="284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pacing w:val="-3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pacing w:val="-3"/>
                <w:sz w:val="18"/>
                <w:szCs w:val="18"/>
              </w:rPr>
              <w:t>未正确使用绝缘测试仪（按下“TEST”）分别检测</w:t>
            </w:r>
            <w:r>
              <w:rPr>
                <w:rFonts w:ascii="微软雅黑" w:hAnsi="微软雅黑" w:cs="微软雅黑"/>
                <w:b/>
                <w:spacing w:val="-3"/>
                <w:sz w:val="18"/>
                <w:szCs w:val="18"/>
              </w:rPr>
              <w:t>单相断路器输入</w:t>
            </w:r>
            <w:r>
              <w:rPr>
                <w:rFonts w:ascii="微软雅黑" w:hAnsi="微软雅黑" w:cs="微软雅黑"/>
                <w:b/>
                <w:sz w:val="18"/>
                <w:szCs w:val="18"/>
              </w:rPr>
              <w:t>侧</w:t>
            </w:r>
            <w:r>
              <w:rPr>
                <w:rFonts w:ascii="微软雅黑" w:hAnsi="微软雅黑" w:cs="微软雅黑"/>
                <w:spacing w:val="-14"/>
                <w:sz w:val="18"/>
                <w:szCs w:val="18"/>
              </w:rPr>
              <w:t>L、N</w:t>
            </w:r>
            <w:r>
              <w:rPr>
                <w:rFonts w:ascii="微软雅黑" w:hAnsi="微软雅黑" w:cs="微软雅黑"/>
                <w:spacing w:val="-7"/>
                <w:sz w:val="18"/>
                <w:szCs w:val="18"/>
              </w:rPr>
              <w:t>线对地绝缘电阻；万用表（电阻档）测</w:t>
            </w:r>
            <w:r>
              <w:rPr>
                <w:rFonts w:ascii="微软雅黑" w:hAnsi="微软雅黑" w:cs="微软雅黑"/>
                <w:sz w:val="18"/>
                <w:szCs w:val="18"/>
              </w:rPr>
              <w:t>L线对N线实测电阻；</w:t>
            </w:r>
          </w:p>
          <w:p>
            <w:pPr>
              <w:pStyle w:val="10"/>
              <w:widowControl w:val="0"/>
              <w:spacing w:line="284" w:lineRule="exact"/>
              <w:jc w:val="both"/>
              <w:rPr>
                <w:rFonts w:ascii="微软雅黑" w:hAnsi="微软雅黑" w:cs="微软雅黑"/>
                <w:spacing w:val="-3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未正确读出（需等待读数稳定）</w:t>
            </w:r>
            <w:r>
              <w:rPr>
                <w:rFonts w:ascii="微软雅黑" w:hAnsi="微软雅黑" w:cs="微软雅黑"/>
                <w:spacing w:val="-3"/>
                <w:sz w:val="18"/>
                <w:szCs w:val="18"/>
              </w:rPr>
              <w:t>测试结果并记录；</w:t>
            </w:r>
          </w:p>
          <w:p>
            <w:pPr>
              <w:pStyle w:val="10"/>
              <w:widowControl w:val="0"/>
              <w:spacing w:line="284" w:lineRule="exact"/>
              <w:jc w:val="both"/>
              <w:rPr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  <w:vMerge w:val="continue"/>
          </w:tcPr>
          <w:p>
            <w:pPr>
              <w:widowControl w:val="0"/>
              <w:jc w:val="both"/>
              <w:rPr>
                <w:rFonts w:ascii="微软雅黑" w:hAnsi="微软雅黑" w:cs="微软雅黑"/>
                <w:bCs/>
                <w:sz w:val="18"/>
                <w:szCs w:val="18"/>
              </w:rPr>
            </w:pPr>
          </w:p>
        </w:tc>
        <w:tc>
          <w:tcPr>
            <w:tcW w:w="667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 w:ascii="微软雅黑" w:hAnsi="微软雅黑" w:cs="微软雅黑"/>
                <w:sz w:val="18"/>
                <w:szCs w:val="18"/>
              </w:rPr>
              <w:t>2</w:t>
            </w:r>
            <w:r>
              <w:rPr>
                <w:rFonts w:ascii="微软雅黑" w:hAnsi="微软雅黑" w:cs="微软雅黑"/>
                <w:sz w:val="18"/>
                <w:szCs w:val="18"/>
              </w:rPr>
              <w:t>.交流接触器输出侧</w:t>
            </w:r>
          </w:p>
        </w:tc>
        <w:tc>
          <w:tcPr>
            <w:tcW w:w="4218" w:type="dxa"/>
          </w:tcPr>
          <w:p>
            <w:pPr>
              <w:pStyle w:val="10"/>
              <w:widowControl w:val="0"/>
              <w:spacing w:line="284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</w:t>
            </w: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断开</w:t>
            </w:r>
            <w:r>
              <w:rPr>
                <w:rFonts w:hint="eastAsia" w:ascii="微软雅黑" w:hAnsi="微软雅黑" w:cs="微软雅黑"/>
                <w:b/>
                <w:bCs/>
                <w:sz w:val="18"/>
                <w:szCs w:val="18"/>
              </w:rPr>
              <w:t>桩体</w:t>
            </w: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接地螺丝</w:t>
            </w:r>
            <w:r>
              <w:rPr>
                <w:rFonts w:ascii="微软雅黑" w:hAnsi="微软雅黑" w:cs="微软雅黑"/>
                <w:spacing w:val="-4"/>
                <w:sz w:val="18"/>
                <w:szCs w:val="18"/>
              </w:rPr>
              <w:t>，正确使用绝缘测试仪（按下“TEST”）</w:t>
            </w:r>
            <w:r>
              <w:rPr>
                <w:rFonts w:hint="eastAsia" w:ascii="微软雅黑" w:hAnsi="微软雅黑" w:cs="微软雅黑"/>
                <w:spacing w:val="-4"/>
                <w:sz w:val="18"/>
                <w:szCs w:val="18"/>
              </w:rPr>
              <w:t>检测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交流接触器输出</w:t>
            </w:r>
            <w:r>
              <w:rPr>
                <w:rFonts w:ascii="微软雅黑" w:hAnsi="微软雅黑" w:cs="微软雅黑"/>
                <w:sz w:val="18"/>
                <w:szCs w:val="18"/>
              </w:rPr>
              <w:t>端L、N线对地绝缘电阻，万用表（电阻档）测L线对N线实测电阻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;</w:t>
            </w:r>
          </w:p>
          <w:p>
            <w:pPr>
              <w:pStyle w:val="10"/>
              <w:widowControl w:val="0"/>
              <w:spacing w:line="284" w:lineRule="exact"/>
              <w:jc w:val="both"/>
              <w:rPr>
                <w:rFonts w:ascii="微软雅黑" w:hAnsi="微软雅黑" w:cs="微软雅黑"/>
                <w:spacing w:val="-3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未正确读出（需等待读数稳定）</w:t>
            </w:r>
            <w:r>
              <w:rPr>
                <w:rFonts w:ascii="微软雅黑" w:hAnsi="微软雅黑" w:cs="微软雅黑"/>
                <w:spacing w:val="-3"/>
                <w:sz w:val="18"/>
                <w:szCs w:val="18"/>
              </w:rPr>
              <w:t>测试结果并记录；</w:t>
            </w:r>
          </w:p>
          <w:p>
            <w:pPr>
              <w:pStyle w:val="10"/>
              <w:widowControl w:val="0"/>
              <w:spacing w:line="284" w:lineRule="exact"/>
              <w:jc w:val="both"/>
              <w:rPr>
                <w:rFonts w:ascii="Wingdings 2" w:hAnsi="Wingdings 2" w:eastAsia="Wingdings 2" w:cs="Wingdings 2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Cs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  <w:vMerge w:val="continue"/>
          </w:tcPr>
          <w:p>
            <w:pPr>
              <w:widowControl w:val="0"/>
              <w:jc w:val="both"/>
              <w:rPr>
                <w:rFonts w:ascii="微软雅黑" w:hAnsi="微软雅黑" w:cs="微软雅黑"/>
                <w:bCs/>
                <w:sz w:val="18"/>
                <w:szCs w:val="18"/>
              </w:rPr>
            </w:pPr>
          </w:p>
        </w:tc>
        <w:tc>
          <w:tcPr>
            <w:tcW w:w="667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cs="微软雅黑"/>
                <w:sz w:val="18"/>
                <w:szCs w:val="18"/>
              </w:rPr>
              <w:t>3</w:t>
            </w:r>
            <w:r>
              <w:rPr>
                <w:rFonts w:ascii="微软雅黑" w:hAnsi="微软雅黑" w:cs="微软雅黑"/>
                <w:sz w:val="18"/>
                <w:szCs w:val="18"/>
              </w:rPr>
              <w:t>.智能电表输出侧</w:t>
            </w:r>
          </w:p>
        </w:tc>
        <w:tc>
          <w:tcPr>
            <w:tcW w:w="4218" w:type="dxa"/>
          </w:tcPr>
          <w:p>
            <w:pPr>
              <w:pStyle w:val="10"/>
              <w:widowControl w:val="0"/>
              <w:spacing w:line="284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</w:t>
            </w: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断开</w:t>
            </w:r>
            <w:r>
              <w:rPr>
                <w:rFonts w:hint="eastAsia" w:ascii="微软雅黑" w:hAnsi="微软雅黑" w:cs="微软雅黑"/>
                <w:b/>
                <w:bCs/>
                <w:sz w:val="18"/>
                <w:szCs w:val="18"/>
              </w:rPr>
              <w:t>桩体</w:t>
            </w: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接地螺丝</w:t>
            </w:r>
            <w:r>
              <w:rPr>
                <w:rFonts w:ascii="微软雅黑" w:hAnsi="微软雅黑" w:cs="微软雅黑"/>
                <w:spacing w:val="-4"/>
                <w:sz w:val="18"/>
                <w:szCs w:val="18"/>
              </w:rPr>
              <w:t>，正确使用绝缘测试仪（按下“TEST”）</w:t>
            </w:r>
            <w:r>
              <w:rPr>
                <w:rFonts w:hint="eastAsia" w:ascii="微软雅黑" w:hAnsi="微软雅黑" w:cs="微软雅黑"/>
                <w:spacing w:val="-4"/>
                <w:sz w:val="18"/>
                <w:szCs w:val="18"/>
              </w:rPr>
              <w:t>检测智能电表输出侧</w:t>
            </w:r>
            <w:r>
              <w:rPr>
                <w:rFonts w:ascii="微软雅黑" w:hAnsi="微软雅黑" w:cs="微软雅黑"/>
                <w:sz w:val="18"/>
                <w:szCs w:val="18"/>
              </w:rPr>
              <w:t>L线对地绝缘电阻，万用表（电阻档）测L线对</w:t>
            </w:r>
            <w:r>
              <w:rPr>
                <w:rFonts w:hint="eastAsia" w:ascii="微软雅黑" w:hAnsi="微软雅黑" w:cs="微软雅黑"/>
                <w:spacing w:val="-13"/>
                <w:sz w:val="18"/>
                <w:szCs w:val="18"/>
              </w:rPr>
              <w:t>A</w:t>
            </w:r>
            <w:r>
              <w:rPr>
                <w:rFonts w:ascii="微软雅黑" w:hAnsi="微软雅黑" w:cs="微软雅黑"/>
                <w:spacing w:val="-13"/>
                <w:sz w:val="18"/>
                <w:szCs w:val="18"/>
              </w:rPr>
              <w:t>C</w:t>
            </w:r>
            <w:r>
              <w:rPr>
                <w:rFonts w:hint="eastAsia" w:ascii="微软雅黑" w:hAnsi="微软雅黑" w:cs="微软雅黑"/>
                <w:spacing w:val="-13"/>
                <w:sz w:val="18"/>
                <w:szCs w:val="18"/>
              </w:rPr>
              <w:t>控制模块输入侧L 线</w:t>
            </w:r>
            <w:r>
              <w:rPr>
                <w:rFonts w:ascii="微软雅黑" w:hAnsi="微软雅黑" w:cs="微软雅黑"/>
                <w:sz w:val="18"/>
                <w:szCs w:val="18"/>
              </w:rPr>
              <w:t>实测电阻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;</w:t>
            </w:r>
          </w:p>
          <w:p>
            <w:pPr>
              <w:pStyle w:val="10"/>
              <w:widowControl w:val="0"/>
              <w:spacing w:line="284" w:lineRule="exact"/>
              <w:jc w:val="both"/>
              <w:rPr>
                <w:rFonts w:ascii="微软雅黑" w:hAnsi="微软雅黑" w:cs="微软雅黑"/>
                <w:spacing w:val="-3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未正确读出（需等待读数稳定）</w:t>
            </w:r>
            <w:r>
              <w:rPr>
                <w:rFonts w:ascii="微软雅黑" w:hAnsi="微软雅黑" w:cs="微软雅黑"/>
                <w:spacing w:val="-3"/>
                <w:sz w:val="18"/>
                <w:szCs w:val="18"/>
              </w:rPr>
              <w:t>测试结果并记录；</w:t>
            </w:r>
          </w:p>
          <w:p>
            <w:pPr>
              <w:pStyle w:val="10"/>
              <w:widowControl w:val="0"/>
              <w:spacing w:line="284" w:lineRule="exact"/>
              <w:jc w:val="both"/>
              <w:rPr>
                <w:rFonts w:ascii="Wingdings 2" w:hAnsi="Wingdings 2" w:eastAsia="Wingdings 2" w:cs="Wingdings 2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Cs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  <w:vMerge w:val="continue"/>
          </w:tcPr>
          <w:p>
            <w:pPr>
              <w:widowControl w:val="0"/>
              <w:jc w:val="both"/>
              <w:rPr>
                <w:rFonts w:ascii="微软雅黑" w:hAnsi="微软雅黑" w:cs="微软雅黑"/>
                <w:bCs/>
                <w:sz w:val="18"/>
                <w:szCs w:val="18"/>
              </w:rPr>
            </w:pPr>
          </w:p>
        </w:tc>
        <w:tc>
          <w:tcPr>
            <w:tcW w:w="667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4.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A</w:t>
            </w:r>
            <w:r>
              <w:rPr>
                <w:rFonts w:ascii="微软雅黑" w:hAnsi="微软雅黑" w:cs="微软雅黑"/>
                <w:sz w:val="18"/>
                <w:szCs w:val="18"/>
              </w:rPr>
              <w:t>C控制模块输出端</w:t>
            </w:r>
          </w:p>
        </w:tc>
        <w:tc>
          <w:tcPr>
            <w:tcW w:w="4218" w:type="dxa"/>
          </w:tcPr>
          <w:p>
            <w:pPr>
              <w:widowControl w:val="0"/>
              <w:jc w:val="both"/>
              <w:rPr>
                <w:rStyle w:val="13"/>
                <w:rFonts w:hint="default"/>
                <w:sz w:val="18"/>
                <w:szCs w:val="18"/>
              </w:rPr>
            </w:pPr>
            <w:r>
              <w:rPr>
                <w:rStyle w:val="12"/>
                <w:sz w:val="18"/>
                <w:szCs w:val="18"/>
              </w:rPr>
              <w:t></w:t>
            </w:r>
            <w:r>
              <w:rPr>
                <w:rStyle w:val="13"/>
                <w:rFonts w:hint="default"/>
                <w:sz w:val="18"/>
                <w:szCs w:val="18"/>
              </w:rPr>
              <w:t>未</w:t>
            </w:r>
            <w:r>
              <w:rPr>
                <w:rStyle w:val="14"/>
                <w:rFonts w:hint="default"/>
                <w:sz w:val="18"/>
                <w:szCs w:val="18"/>
              </w:rPr>
              <w:t xml:space="preserve">断开桩体接地螺丝 </w:t>
            </w:r>
            <w:r>
              <w:rPr>
                <w:rStyle w:val="13"/>
                <w:rFonts w:hint="default"/>
                <w:sz w:val="18"/>
                <w:szCs w:val="18"/>
              </w:rPr>
              <w:t>，正确使用绝缘测试仪（按下“TEST”）检测AC控制模块输出端 L 、N线对地绝缘电阻，万用表（电阻档）测 AC控制模块输出侧L、N 线实测电阻；</w:t>
            </w:r>
          </w:p>
          <w:p>
            <w:pPr>
              <w:widowControl w:val="0"/>
              <w:jc w:val="both"/>
              <w:rPr>
                <w:rStyle w:val="13"/>
                <w:rFonts w:hint="default"/>
                <w:sz w:val="18"/>
                <w:szCs w:val="18"/>
              </w:rPr>
            </w:pPr>
            <w:r>
              <w:rPr>
                <w:rStyle w:val="12"/>
                <w:sz w:val="18"/>
                <w:szCs w:val="18"/>
              </w:rPr>
              <w:t></w:t>
            </w:r>
            <w:r>
              <w:rPr>
                <w:rStyle w:val="13"/>
                <w:rFonts w:hint="default"/>
                <w:sz w:val="18"/>
                <w:szCs w:val="18"/>
              </w:rPr>
              <w:t>未正确读出（需等待读数稳定）测试结果并记录；</w:t>
            </w:r>
          </w:p>
          <w:p>
            <w:pPr>
              <w:widowControl w:val="0"/>
              <w:jc w:val="both"/>
              <w:rPr>
                <w:rStyle w:val="13"/>
                <w:rFonts w:hint="default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Cs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 w:ascii="微软雅黑" w:hAnsi="微软雅黑" w:cs="微软雅黑"/>
                <w:bCs/>
                <w:color w:val="000000"/>
                <w:sz w:val="18"/>
                <w:szCs w:val="18"/>
              </w:rPr>
              <w:t>12V电源线短路检查</w:t>
            </w:r>
          </w:p>
        </w:tc>
        <w:tc>
          <w:tcPr>
            <w:tcW w:w="4885" w:type="dxa"/>
            <w:gridSpan w:val="2"/>
          </w:tcPr>
          <w:p>
            <w:pPr>
              <w:widowControl w:val="0"/>
              <w:jc w:val="both"/>
              <w:rPr>
                <w:rStyle w:val="13"/>
                <w:rFonts w:hint="default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color w:val="000000"/>
                <w:sz w:val="18"/>
                <w:szCs w:val="18"/>
              </w:rPr>
              <w:t></w:t>
            </w:r>
            <w:r>
              <w:rPr>
                <w:rStyle w:val="13"/>
                <w:rFonts w:hint="default"/>
                <w:sz w:val="18"/>
                <w:szCs w:val="18"/>
              </w:rPr>
              <w:t>未</w:t>
            </w:r>
            <w:r>
              <w:rPr>
                <w:rStyle w:val="14"/>
                <w:rFonts w:hint="default"/>
                <w:sz w:val="18"/>
                <w:szCs w:val="18"/>
              </w:rPr>
              <w:t>拔下辅助电源 12V 输出线（+ V2）</w:t>
            </w:r>
            <w:r>
              <w:rPr>
                <w:rStyle w:val="13"/>
                <w:rFonts w:hint="default"/>
                <w:sz w:val="18"/>
                <w:szCs w:val="18"/>
              </w:rPr>
              <w:t>，正确使用万用表（电阻档）测量辅助电源模块、AC控制模块、显示器电源线对地实测电阻；</w:t>
            </w:r>
          </w:p>
          <w:p>
            <w:pPr>
              <w:widowControl w:val="0"/>
              <w:jc w:val="both"/>
              <w:rPr>
                <w:rStyle w:val="13"/>
                <w:rFonts w:hint="default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color w:val="000000"/>
                <w:sz w:val="18"/>
                <w:szCs w:val="18"/>
              </w:rPr>
              <w:t></w:t>
            </w:r>
            <w:r>
              <w:rPr>
                <w:rStyle w:val="13"/>
                <w:rFonts w:hint="default"/>
                <w:sz w:val="18"/>
                <w:szCs w:val="18"/>
              </w:rPr>
              <w:t>未正确读出（需等待读数稳定）测试结果并记录；</w:t>
            </w:r>
          </w:p>
          <w:p>
            <w:pPr>
              <w:widowControl w:val="0"/>
              <w:jc w:val="both"/>
              <w:rPr>
                <w:rStyle w:val="13"/>
                <w:rFonts w:hint="default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cs="微软雅黑"/>
                <w:bCs/>
                <w:color w:val="000000"/>
                <w:sz w:val="18"/>
                <w:szCs w:val="18"/>
              </w:rPr>
              <w:t>1</w:t>
            </w:r>
            <w:r>
              <w:rPr>
                <w:rStyle w:val="14"/>
                <w:rFonts w:hint="default"/>
                <w:b w:val="0"/>
                <w:sz w:val="18"/>
                <w:szCs w:val="18"/>
              </w:rPr>
              <w:t>2V电源线路反接检查</w:t>
            </w:r>
          </w:p>
        </w:tc>
        <w:tc>
          <w:tcPr>
            <w:tcW w:w="4885" w:type="dxa"/>
            <w:gridSpan w:val="2"/>
          </w:tcPr>
          <w:p>
            <w:pPr>
              <w:widowControl w:val="0"/>
              <w:jc w:val="both"/>
              <w:rPr>
                <w:rStyle w:val="13"/>
                <w:rFonts w:hint="default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color w:val="000000"/>
                <w:sz w:val="18"/>
                <w:szCs w:val="18"/>
              </w:rPr>
              <w:t></w:t>
            </w:r>
            <w:r>
              <w:rPr>
                <w:rStyle w:val="13"/>
                <w:rFonts w:hint="default"/>
                <w:sz w:val="18"/>
                <w:szCs w:val="18"/>
              </w:rPr>
              <w:t>未正确检查辅助电源模块、AC主控模块、显示器电源线与地线之间是否反接，每项；</w:t>
            </w:r>
          </w:p>
          <w:p>
            <w:pPr>
              <w:widowControl w:val="0"/>
              <w:jc w:val="both"/>
              <w:rPr>
                <w:rFonts w:ascii="Wingdings 2" w:hAnsi="Wingdings 2" w:eastAsia="Wingdings 2" w:cs="Wingdings 2"/>
                <w:color w:val="000000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</w:p>
        </w:tc>
      </w:tr>
    </w:tbl>
    <w:p>
      <w:pPr>
        <w:pStyle w:val="2"/>
        <w:spacing w:line="306" w:lineRule="exact"/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通电调试</w:t>
      </w:r>
    </w:p>
    <w:tbl>
      <w:tblPr>
        <w:tblStyle w:val="6"/>
        <w:tblW w:w="8305" w:type="dxa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4885"/>
        <w:gridCol w:w="680"/>
        <w:gridCol w:w="700"/>
        <w:gridCol w:w="1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作业</w:t>
            </w:r>
            <w:r>
              <w:rPr>
                <w:rFonts w:hint="eastAsia" w:ascii="微软雅黑" w:hAnsi="微软雅黑" w:cs="微软雅黑"/>
                <w:b/>
                <w:bCs/>
                <w:sz w:val="18"/>
                <w:szCs w:val="18"/>
              </w:rPr>
              <w:t>内</w:t>
            </w: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容</w:t>
            </w:r>
          </w:p>
        </w:tc>
        <w:tc>
          <w:tcPr>
            <w:tcW w:w="4885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评分要点（各竞赛环节漏项或累计最多扣相应配分）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配分</w:t>
            </w: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 w:ascii="微软雅黑" w:hAnsi="微软雅黑" w:cs="微软雅黑"/>
                <w:b/>
                <w:bCs/>
                <w:sz w:val="18"/>
                <w:szCs w:val="18"/>
              </w:rPr>
              <w:t>扣</w:t>
            </w: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分</w:t>
            </w: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判罚依据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安全作业</w:t>
            </w:r>
          </w:p>
        </w:tc>
        <w:tc>
          <w:tcPr>
            <w:tcW w:w="4885" w:type="dxa"/>
          </w:tcPr>
          <w:p>
            <w:pPr>
              <w:pStyle w:val="10"/>
              <w:widowControl w:val="0"/>
              <w:spacing w:line="303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通电后</w:t>
            </w:r>
            <w:r>
              <w:rPr>
                <w:rFonts w:ascii="微软雅黑" w:hAnsi="微软雅黑" w:cs="微软雅黑"/>
                <w:sz w:val="18"/>
                <w:szCs w:val="18"/>
              </w:rPr>
              <w:t>未佩戴护目镜、绝缘手套、安全帽进行上电和检测作业；</w:t>
            </w:r>
          </w:p>
          <w:p>
            <w:pPr>
              <w:pStyle w:val="10"/>
              <w:widowControl w:val="0"/>
              <w:spacing w:line="303" w:lineRule="exact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pStyle w:val="10"/>
              <w:widowControl w:val="0"/>
              <w:spacing w:line="344" w:lineRule="exact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调试作业-供电环境</w:t>
            </w:r>
          </w:p>
        </w:tc>
        <w:tc>
          <w:tcPr>
            <w:tcW w:w="4885" w:type="dxa"/>
          </w:tcPr>
          <w:p>
            <w:pPr>
              <w:pStyle w:val="10"/>
              <w:widowControl w:val="0"/>
              <w:spacing w:line="303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 xml:space="preserve">未正确使用万用表（交流电压档）测量墙壁插座供电电压； </w:t>
            </w:r>
          </w:p>
          <w:p>
            <w:pPr>
              <w:pStyle w:val="10"/>
              <w:widowControl w:val="0"/>
              <w:spacing w:before="16" w:line="344" w:lineRule="exact"/>
              <w:ind w:right="145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未向裁判汇报接线情况，直接通电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;</w:t>
            </w:r>
          </w:p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pStyle w:val="10"/>
              <w:widowControl w:val="0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调试作业-模块通电测试</w:t>
            </w:r>
          </w:p>
        </w:tc>
        <w:tc>
          <w:tcPr>
            <w:tcW w:w="4885" w:type="dxa"/>
          </w:tcPr>
          <w:p>
            <w:pPr>
              <w:pStyle w:val="10"/>
              <w:widowControl w:val="0"/>
              <w:spacing w:line="304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rFonts w:ascii="微软雅黑" w:hAnsi="微软雅黑" w:cs="微软雅黑"/>
                <w:sz w:val="18"/>
                <w:szCs w:val="18"/>
              </w:rPr>
              <w:t>显示屏未点亮，显示不正常扣；</w:t>
            </w:r>
          </w:p>
          <w:p>
            <w:pPr>
              <w:pStyle w:val="10"/>
              <w:widowControl w:val="0"/>
              <w:spacing w:line="284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通电测试未能通过；</w:t>
            </w:r>
          </w:p>
          <w:p>
            <w:pPr>
              <w:widowControl w:val="0"/>
              <w:jc w:val="both"/>
              <w:rPr>
                <w:rFonts w:ascii="Wingdings 2" w:hAnsi="Wingdings 2" w:eastAsia="Wingdings 2" w:cs="Wingdings 2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/>
                <w:w w:val="99"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</w:tr>
    </w:tbl>
    <w:p>
      <w:pPr>
        <w:pStyle w:val="2"/>
        <w:spacing w:line="306" w:lineRule="exact"/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参数设置</w:t>
      </w:r>
    </w:p>
    <w:tbl>
      <w:tblPr>
        <w:tblStyle w:val="6"/>
        <w:tblW w:w="8305" w:type="dxa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4885"/>
        <w:gridCol w:w="680"/>
        <w:gridCol w:w="700"/>
        <w:gridCol w:w="1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作业</w:t>
            </w:r>
            <w:r>
              <w:rPr>
                <w:rFonts w:hint="eastAsia" w:ascii="微软雅黑" w:hAnsi="微软雅黑" w:cs="微软雅黑"/>
                <w:b/>
                <w:bCs/>
                <w:sz w:val="18"/>
                <w:szCs w:val="18"/>
              </w:rPr>
              <w:t>内</w:t>
            </w: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容</w:t>
            </w:r>
          </w:p>
        </w:tc>
        <w:tc>
          <w:tcPr>
            <w:tcW w:w="4885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评分要点（各竞赛环节漏项或累计最多扣相应配分）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配分</w:t>
            </w: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 w:ascii="微软雅黑" w:hAnsi="微软雅黑" w:cs="微软雅黑"/>
                <w:b/>
                <w:bCs/>
                <w:sz w:val="18"/>
                <w:szCs w:val="18"/>
              </w:rPr>
              <w:t>扣</w:t>
            </w: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分</w:t>
            </w: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判罚依据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pStyle w:val="10"/>
              <w:widowControl w:val="0"/>
              <w:spacing w:before="127" w:line="344" w:lineRule="exact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设置作业-参数设置</w:t>
            </w:r>
          </w:p>
        </w:tc>
        <w:tc>
          <w:tcPr>
            <w:tcW w:w="4885" w:type="dxa"/>
          </w:tcPr>
          <w:p>
            <w:pPr>
              <w:pStyle w:val="10"/>
              <w:widowControl w:val="0"/>
              <w:spacing w:line="301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未按操作要求设置电价或设置错误；</w:t>
            </w:r>
          </w:p>
          <w:p>
            <w:pPr>
              <w:pStyle w:val="10"/>
              <w:widowControl w:val="0"/>
              <w:spacing w:line="343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未按操作要求设置时段或设置错误；</w:t>
            </w:r>
          </w:p>
          <w:p>
            <w:pPr>
              <w:pStyle w:val="10"/>
              <w:widowControl w:val="0"/>
              <w:spacing w:line="343" w:lineRule="exact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pStyle w:val="10"/>
              <w:widowControl w:val="0"/>
              <w:spacing w:before="129" w:line="344" w:lineRule="exact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充电测试-自动充电测试</w:t>
            </w:r>
          </w:p>
        </w:tc>
        <w:tc>
          <w:tcPr>
            <w:tcW w:w="4885" w:type="dxa"/>
          </w:tcPr>
          <w:p>
            <w:pPr>
              <w:pStyle w:val="10"/>
              <w:widowControl w:val="0"/>
              <w:spacing w:line="302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未从充电选择模式中进行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自动</w:t>
            </w:r>
            <w:r>
              <w:rPr>
                <w:rFonts w:ascii="微软雅黑" w:hAnsi="微软雅黑" w:cs="微软雅黑"/>
                <w:sz w:val="18"/>
                <w:szCs w:val="18"/>
              </w:rPr>
              <w:t>充电测试；</w:t>
            </w:r>
          </w:p>
          <w:p>
            <w:pPr>
              <w:widowControl w:val="0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未记录</w:t>
            </w:r>
            <w:r>
              <w:rPr>
                <w:rFonts w:ascii="微软雅黑" w:hAnsi="微软雅黑" w:cs="微软雅黑"/>
                <w:sz w:val="18"/>
                <w:szCs w:val="18"/>
              </w:rPr>
              <w:t>充电数据或错误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;</w:t>
            </w:r>
          </w:p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pStyle w:val="10"/>
              <w:widowControl w:val="0"/>
              <w:spacing w:line="302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充电测试-按时间充电测试</w:t>
            </w:r>
          </w:p>
        </w:tc>
        <w:tc>
          <w:tcPr>
            <w:tcW w:w="4885" w:type="dxa"/>
          </w:tcPr>
          <w:p>
            <w:pPr>
              <w:pStyle w:val="10"/>
              <w:widowControl w:val="0"/>
              <w:spacing w:line="302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未正确设置充电时间；</w:t>
            </w:r>
          </w:p>
          <w:p>
            <w:pPr>
              <w:pStyle w:val="10"/>
              <w:widowControl w:val="0"/>
              <w:spacing w:line="344" w:lineRule="exact"/>
              <w:jc w:val="both"/>
              <w:rPr>
                <w:rFonts w:ascii="Wingdings 2" w:hAnsi="Wingdings 2" w:eastAsia="Wingdings 2" w:cs="Wingdings 2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/>
                <w:w w:val="99"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pStyle w:val="10"/>
              <w:widowControl w:val="0"/>
              <w:spacing w:line="302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充电测试-按金额充电测试</w:t>
            </w:r>
          </w:p>
        </w:tc>
        <w:tc>
          <w:tcPr>
            <w:tcW w:w="4885" w:type="dxa"/>
          </w:tcPr>
          <w:p>
            <w:pPr>
              <w:pStyle w:val="10"/>
              <w:widowControl w:val="0"/>
              <w:spacing w:line="302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未正确设置充电金额；</w:t>
            </w:r>
          </w:p>
          <w:p>
            <w:pPr>
              <w:pStyle w:val="10"/>
              <w:widowControl w:val="0"/>
              <w:spacing w:line="344" w:lineRule="exact"/>
              <w:jc w:val="both"/>
              <w:rPr>
                <w:rFonts w:ascii="Wingdings 2" w:hAnsi="Wingdings 2" w:eastAsia="Wingdings 2" w:cs="Wingdings 2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/>
                <w:w w:val="99"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009" w:type="dxa"/>
          </w:tcPr>
          <w:p>
            <w:pPr>
              <w:pStyle w:val="10"/>
              <w:widowControl w:val="0"/>
              <w:spacing w:line="301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充电测试-按电量充电测试</w:t>
            </w:r>
          </w:p>
        </w:tc>
        <w:tc>
          <w:tcPr>
            <w:tcW w:w="4885" w:type="dxa"/>
          </w:tcPr>
          <w:p>
            <w:pPr>
              <w:pStyle w:val="10"/>
              <w:widowControl w:val="0"/>
              <w:spacing w:line="301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未正确设置充电电量；</w:t>
            </w:r>
          </w:p>
          <w:p>
            <w:pPr>
              <w:pStyle w:val="10"/>
              <w:widowControl w:val="0"/>
              <w:spacing w:line="344" w:lineRule="exact"/>
              <w:jc w:val="both"/>
              <w:rPr>
                <w:rFonts w:ascii="Wingdings 2" w:hAnsi="Wingdings 2" w:eastAsia="Wingdings 2" w:cs="Wingdings 2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/>
                <w:w w:val="99"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009" w:type="dxa"/>
          </w:tcPr>
          <w:p>
            <w:pPr>
              <w:pStyle w:val="10"/>
              <w:widowControl w:val="0"/>
              <w:spacing w:line="301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充电测试-充电记录查看</w:t>
            </w:r>
          </w:p>
        </w:tc>
        <w:tc>
          <w:tcPr>
            <w:tcW w:w="4885" w:type="dxa"/>
          </w:tcPr>
          <w:p>
            <w:pPr>
              <w:pStyle w:val="10"/>
              <w:widowControl w:val="0"/>
              <w:spacing w:line="344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充电测试后，未进行充电记录信息查看；</w:t>
            </w:r>
          </w:p>
          <w:p>
            <w:pPr>
              <w:pStyle w:val="10"/>
              <w:widowControl w:val="0"/>
              <w:spacing w:line="344" w:lineRule="exact"/>
              <w:jc w:val="both"/>
              <w:rPr>
                <w:rFonts w:ascii="Wingdings 2" w:hAnsi="Wingdings 2" w:eastAsia="Wingdings 2" w:cs="Wingdings 2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/>
                <w:w w:val="99"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</w:trPr>
        <w:tc>
          <w:tcPr>
            <w:tcW w:w="1009" w:type="dxa"/>
          </w:tcPr>
          <w:p>
            <w:pPr>
              <w:pStyle w:val="10"/>
              <w:widowControl w:val="0"/>
              <w:spacing w:line="301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cs="微软雅黑"/>
                <w:sz w:val="18"/>
                <w:szCs w:val="18"/>
              </w:rPr>
              <w:t>充电结束</w:t>
            </w:r>
            <w:r>
              <w:rPr>
                <w:rFonts w:ascii="微软雅黑" w:hAnsi="微软雅黑" w:cs="微软雅黑"/>
                <w:sz w:val="18"/>
                <w:szCs w:val="18"/>
              </w:rPr>
              <w:t>拔枪</w:t>
            </w:r>
          </w:p>
        </w:tc>
        <w:tc>
          <w:tcPr>
            <w:tcW w:w="4885" w:type="dxa"/>
          </w:tcPr>
          <w:p>
            <w:pPr>
              <w:pStyle w:val="10"/>
              <w:widowControl w:val="0"/>
              <w:spacing w:line="301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未报告裁判，直接断电；</w:t>
            </w:r>
          </w:p>
          <w:p>
            <w:pPr>
              <w:pStyle w:val="10"/>
              <w:widowControl w:val="0"/>
              <w:spacing w:line="344" w:lineRule="exact"/>
              <w:jc w:val="both"/>
              <w:rPr>
                <w:rFonts w:ascii="Wingdings 2" w:hAnsi="Wingdings 2" w:eastAsia="Wingdings 2" w:cs="Wingdings 2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sym w:font="Wingdings 2" w:char="00A3"/>
            </w: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/>
                <w:w w:val="99"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</w:tr>
    </w:tbl>
    <w:p>
      <w:pPr>
        <w:pStyle w:val="2"/>
        <w:spacing w:line="306" w:lineRule="exact"/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安全与5S管理</w:t>
      </w:r>
    </w:p>
    <w:tbl>
      <w:tblPr>
        <w:tblStyle w:val="6"/>
        <w:tblW w:w="8305" w:type="dxa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4885"/>
        <w:gridCol w:w="680"/>
        <w:gridCol w:w="700"/>
        <w:gridCol w:w="1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作业</w:t>
            </w:r>
            <w:r>
              <w:rPr>
                <w:rFonts w:hint="eastAsia" w:ascii="微软雅黑" w:hAnsi="微软雅黑" w:cs="微软雅黑"/>
                <w:b/>
                <w:bCs/>
                <w:sz w:val="18"/>
                <w:szCs w:val="18"/>
              </w:rPr>
              <w:t>内</w:t>
            </w: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容</w:t>
            </w:r>
          </w:p>
        </w:tc>
        <w:tc>
          <w:tcPr>
            <w:tcW w:w="4885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评分要点（各竞赛环节漏项或累计最多扣相应配分）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配分</w:t>
            </w: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hint="eastAsia" w:ascii="微软雅黑" w:hAnsi="微软雅黑" w:cs="微软雅黑"/>
                <w:b/>
                <w:bCs/>
                <w:sz w:val="18"/>
                <w:szCs w:val="18"/>
              </w:rPr>
              <w:t>扣</w:t>
            </w: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分</w:t>
            </w: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判罚依据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9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安全与 5S管理</w:t>
            </w:r>
          </w:p>
        </w:tc>
        <w:tc>
          <w:tcPr>
            <w:tcW w:w="4885" w:type="dxa"/>
          </w:tcPr>
          <w:p>
            <w:pPr>
              <w:pStyle w:val="10"/>
              <w:widowControl w:val="0"/>
              <w:spacing w:line="301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由于选手粗暴操作导致线路损坏的每条线路扣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1</w:t>
            </w:r>
            <w:r>
              <w:rPr>
                <w:rFonts w:ascii="微软雅黑" w:hAnsi="微软雅黑" w:cs="微软雅黑"/>
                <w:sz w:val="18"/>
                <w:szCs w:val="18"/>
              </w:rPr>
              <w:t>分，上限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4</w:t>
            </w:r>
            <w:r>
              <w:rPr>
                <w:rFonts w:ascii="微软雅黑" w:hAnsi="微软雅黑" w:cs="微软雅黑"/>
                <w:sz w:val="18"/>
                <w:szCs w:val="18"/>
              </w:rPr>
              <w:t>分；</w:t>
            </w:r>
          </w:p>
          <w:p>
            <w:pPr>
              <w:pStyle w:val="10"/>
              <w:widowControl w:val="0"/>
              <w:spacing w:line="342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由于选手粗暴操作导致安装螺纹滑丝的每颗扣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1</w:t>
            </w:r>
            <w:r>
              <w:rPr>
                <w:rFonts w:ascii="微软雅黑" w:hAnsi="微软雅黑" w:cs="微软雅黑"/>
                <w:sz w:val="18"/>
                <w:szCs w:val="18"/>
              </w:rPr>
              <w:t>分，上限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4</w:t>
            </w:r>
            <w:r>
              <w:rPr>
                <w:rFonts w:ascii="微软雅黑" w:hAnsi="微软雅黑" w:cs="微软雅黑"/>
                <w:sz w:val="18"/>
                <w:szCs w:val="18"/>
              </w:rPr>
              <w:t>分；</w:t>
            </w:r>
          </w:p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  <w:r>
              <w:rPr>
                <w:rFonts w:ascii="Wingdings 2" w:hAnsi="Wingdings 2" w:eastAsia="Wingdings 2" w:cs="Wingdings 2"/>
                <w:sz w:val="18"/>
                <w:szCs w:val="18"/>
              </w:rPr>
              <w:t></w:t>
            </w:r>
            <w:r>
              <w:rPr>
                <w:rFonts w:ascii="微软雅黑" w:hAnsi="微软雅黑" w:cs="微软雅黑"/>
                <w:sz w:val="18"/>
                <w:szCs w:val="18"/>
              </w:rPr>
              <w:t>未清洁整理工量具、设备、场地的扣每项扣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1</w:t>
            </w:r>
            <w:r>
              <w:rPr>
                <w:rFonts w:ascii="微软雅黑" w:hAnsi="微软雅黑" w:cs="微软雅黑"/>
                <w:sz w:val="18"/>
                <w:szCs w:val="18"/>
              </w:rPr>
              <w:t>分，上限</w:t>
            </w:r>
            <w:r>
              <w:rPr>
                <w:rFonts w:hint="eastAsia" w:ascii="微软雅黑" w:hAnsi="微软雅黑" w:cs="微软雅黑"/>
                <w:sz w:val="18"/>
                <w:szCs w:val="18"/>
              </w:rPr>
              <w:t>4</w:t>
            </w:r>
            <w:r>
              <w:rPr>
                <w:rFonts w:ascii="微软雅黑" w:hAnsi="微软雅黑" w:cs="微软雅黑"/>
                <w:sz w:val="18"/>
                <w:szCs w:val="18"/>
              </w:rPr>
              <w:t>分；</w:t>
            </w:r>
          </w:p>
        </w:tc>
        <w:tc>
          <w:tcPr>
            <w:tcW w:w="68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  <w:tc>
          <w:tcPr>
            <w:tcW w:w="1031" w:type="dxa"/>
          </w:tcPr>
          <w:p>
            <w:pPr>
              <w:widowControl w:val="0"/>
              <w:jc w:val="both"/>
              <w:rPr>
                <w:rFonts w:ascii="微软雅黑" w:hAnsi="微软雅黑" w:cs="微软雅黑"/>
                <w:b/>
                <w:bCs/>
                <w:sz w:val="18"/>
                <w:szCs w:val="18"/>
              </w:rPr>
            </w:pPr>
          </w:p>
        </w:tc>
      </w:tr>
    </w:tbl>
    <w:p>
      <w:pPr>
        <w:pStyle w:val="2"/>
        <w:spacing w:line="306" w:lineRule="exact"/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</w:rPr>
        <w:t>故障诊断与排除</w:t>
      </w:r>
    </w:p>
    <w:p>
      <w:pPr>
        <w:pStyle w:val="2"/>
        <w:spacing w:line="306" w:lineRule="exact"/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追罚扣分 本部分累计得分：</w:t>
      </w:r>
    </w:p>
    <w:tbl>
      <w:tblPr>
        <w:tblStyle w:val="6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4558"/>
        <w:gridCol w:w="697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7" w:type="dxa"/>
          </w:tcPr>
          <w:p>
            <w:pPr>
              <w:widowControl w:val="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扣分项目</w:t>
            </w:r>
          </w:p>
        </w:tc>
        <w:tc>
          <w:tcPr>
            <w:tcW w:w="4558" w:type="dxa"/>
          </w:tcPr>
          <w:p>
            <w:pPr>
              <w:widowControl w:val="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扣分项目</w:t>
            </w:r>
          </w:p>
        </w:tc>
        <w:tc>
          <w:tcPr>
            <w:tcW w:w="697" w:type="dxa"/>
          </w:tcPr>
          <w:p>
            <w:pPr>
              <w:widowControl w:val="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扣分</w:t>
            </w:r>
          </w:p>
        </w:tc>
        <w:tc>
          <w:tcPr>
            <w:tcW w:w="1027" w:type="dxa"/>
          </w:tcPr>
          <w:p>
            <w:pPr>
              <w:widowControl w:val="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微软雅黑" w:hAnsi="微软雅黑" w:cs="微软雅黑"/>
                <w:b/>
                <w:bCs/>
                <w:sz w:val="18"/>
                <w:szCs w:val="18"/>
              </w:rPr>
              <w:t>判罚依据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7" w:type="dxa"/>
          </w:tcPr>
          <w:p>
            <w:pPr>
              <w:widowControl w:val="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微软雅黑" w:hAnsi="微软雅黑" w:cs="微软雅黑"/>
                <w:sz w:val="18"/>
                <w:szCs w:val="18"/>
              </w:rPr>
              <w:t>安全事故</w:t>
            </w:r>
          </w:p>
        </w:tc>
        <w:tc>
          <w:tcPr>
            <w:tcW w:w="4558" w:type="dxa"/>
          </w:tcPr>
          <w:p>
            <w:pPr>
              <w:pStyle w:val="10"/>
              <w:widowControl w:val="0"/>
              <w:spacing w:line="303" w:lineRule="exact"/>
              <w:jc w:val="both"/>
              <w:rPr>
                <w:rFonts w:ascii="微软雅黑" w:hAnsi="微软雅黑" w:cs="微软雅黑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□</w:t>
            </w:r>
            <w:r>
              <w:rPr>
                <w:rFonts w:ascii="微软雅黑" w:hAnsi="微软雅黑" w:cs="微软雅黑"/>
                <w:spacing w:val="-4"/>
                <w:sz w:val="18"/>
                <w:szCs w:val="18"/>
              </w:rPr>
              <w:t xml:space="preserve">未按正确安全操作程序，损伤、损毁车辆或竞赛设备，视情节扣 </w:t>
            </w:r>
            <w:r>
              <w:rPr>
                <w:rFonts w:ascii="微软雅黑" w:hAnsi="微软雅黑" w:cs="微软雅黑"/>
                <w:sz w:val="18"/>
                <w:szCs w:val="18"/>
              </w:rPr>
              <w:t>2~20分，特别严重安全事故的终止比赛，成绩记 0分；</w:t>
            </w:r>
          </w:p>
          <w:p>
            <w:pPr>
              <w:widowControl w:val="0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</w:t>
            </w:r>
            <w:r>
              <w:rPr>
                <w:rFonts w:ascii="微软雅黑" w:hAnsi="微软雅黑" w:cs="微软雅黑"/>
                <w:sz w:val="18"/>
                <w:szCs w:val="18"/>
              </w:rPr>
              <w:t>未按正确安全操作程序，造成人员伤害，视情节扣 2~20</w:t>
            </w:r>
            <w:r>
              <w:rPr>
                <w:rFonts w:ascii="微软雅黑" w:hAnsi="微软雅黑" w:cs="微软雅黑"/>
                <w:spacing w:val="-3"/>
                <w:sz w:val="18"/>
                <w:szCs w:val="18"/>
              </w:rPr>
              <w:t>分，特别严重安</w:t>
            </w:r>
            <w:r>
              <w:rPr>
                <w:rFonts w:ascii="微软雅黑" w:hAnsi="微软雅黑" w:cs="微软雅黑"/>
                <w:sz w:val="18"/>
                <w:szCs w:val="18"/>
              </w:rPr>
              <w:t>全事故的终止比赛，成绩记 0分；</w:t>
            </w:r>
          </w:p>
        </w:tc>
        <w:tc>
          <w:tcPr>
            <w:tcW w:w="697" w:type="dxa"/>
          </w:tcPr>
          <w:p>
            <w:pPr>
              <w:widowControl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7" w:type="dxa"/>
          </w:tcPr>
          <w:p>
            <w:pPr>
              <w:widowControl w:val="0"/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76" w:lineRule="auto"/>
        <w:ind w:left="98" w:leftChars="0"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76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暂定202</w:t>
      </w: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年1</w:t>
      </w:r>
      <w:r>
        <w:rPr>
          <w:rFonts w:ascii="宋体" w:hAnsi="宋体" w:eastAsia="宋体"/>
          <w:sz w:val="28"/>
          <w:szCs w:val="28"/>
        </w:rPr>
        <w:t>0</w:t>
      </w:r>
      <w:r>
        <w:rPr>
          <w:rFonts w:hint="eastAsia" w:ascii="宋体" w:hAnsi="宋体" w:eastAsia="宋体"/>
          <w:sz w:val="28"/>
          <w:szCs w:val="28"/>
        </w:rPr>
        <w:t>月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76" w:lineRule="auto"/>
        <w:ind w:left="98" w:leftChars="0"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竞赛地点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76" w:lineRule="auto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上海科创职业技术学院（上海市松江区人民北路925号）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76" w:lineRule="auto"/>
        <w:ind w:left="98" w:leftChars="0" w:firstLine="562" w:firstLineChars="200"/>
        <w:textAlignment w:val="auto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奖项设置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276" w:lineRule="auto"/>
        <w:ind w:firstLine="560" w:firstLineChars="200"/>
        <w:textAlignment w:val="auto"/>
        <w:rPr>
          <w:b/>
          <w:bCs/>
        </w:rPr>
      </w:pPr>
      <w:r>
        <w:rPr>
          <w:rFonts w:hint="eastAsia" w:ascii="宋体" w:hAnsi="宋体" w:eastAsia="宋体"/>
          <w:sz w:val="28"/>
          <w:szCs w:val="28"/>
        </w:rPr>
        <w:t>竞赛设一等奖1名，二等奖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名，三等奖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D4EC5"/>
    <w:multiLevelType w:val="multilevel"/>
    <w:tmpl w:val="584D4EC5"/>
    <w:lvl w:ilvl="0" w:tentative="0">
      <w:start w:val="1"/>
      <w:numFmt w:val="japaneseCounting"/>
      <w:lvlText w:val="%1、"/>
      <w:lvlJc w:val="left"/>
      <w:pPr>
        <w:ind w:left="98" w:hanging="690"/>
      </w:pPr>
      <w:rPr>
        <w:rFonts w:hint="default"/>
        <w:b/>
        <w:sz w:val="28"/>
        <w:szCs w:val="28"/>
        <w:lang w:val="en-US"/>
      </w:rPr>
    </w:lvl>
    <w:lvl w:ilvl="1" w:tentative="0">
      <w:start w:val="1"/>
      <w:numFmt w:val="lowerLetter"/>
      <w:lvlText w:val="%2)"/>
      <w:lvlJc w:val="left"/>
      <w:pPr>
        <w:ind w:left="248" w:hanging="420"/>
      </w:pPr>
    </w:lvl>
    <w:lvl w:ilvl="2" w:tentative="0">
      <w:start w:val="1"/>
      <w:numFmt w:val="lowerRoman"/>
      <w:lvlText w:val="%3."/>
      <w:lvlJc w:val="right"/>
      <w:pPr>
        <w:ind w:left="668" w:hanging="420"/>
      </w:pPr>
    </w:lvl>
    <w:lvl w:ilvl="3" w:tentative="0">
      <w:start w:val="1"/>
      <w:numFmt w:val="decimal"/>
      <w:lvlText w:val="%4."/>
      <w:lvlJc w:val="left"/>
      <w:pPr>
        <w:ind w:left="1088" w:hanging="420"/>
      </w:pPr>
    </w:lvl>
    <w:lvl w:ilvl="4" w:tentative="0">
      <w:start w:val="1"/>
      <w:numFmt w:val="lowerLetter"/>
      <w:lvlText w:val="%5)"/>
      <w:lvlJc w:val="left"/>
      <w:pPr>
        <w:ind w:left="1508" w:hanging="420"/>
      </w:pPr>
    </w:lvl>
    <w:lvl w:ilvl="5" w:tentative="0">
      <w:start w:val="1"/>
      <w:numFmt w:val="lowerRoman"/>
      <w:lvlText w:val="%6."/>
      <w:lvlJc w:val="right"/>
      <w:pPr>
        <w:ind w:left="1928" w:hanging="420"/>
      </w:pPr>
    </w:lvl>
    <w:lvl w:ilvl="6" w:tentative="0">
      <w:start w:val="1"/>
      <w:numFmt w:val="decimal"/>
      <w:lvlText w:val="%7."/>
      <w:lvlJc w:val="left"/>
      <w:pPr>
        <w:ind w:left="2348" w:hanging="420"/>
      </w:pPr>
    </w:lvl>
    <w:lvl w:ilvl="7" w:tentative="0">
      <w:start w:val="1"/>
      <w:numFmt w:val="lowerLetter"/>
      <w:lvlText w:val="%8)"/>
      <w:lvlJc w:val="left"/>
      <w:pPr>
        <w:ind w:left="2768" w:hanging="420"/>
      </w:pPr>
    </w:lvl>
    <w:lvl w:ilvl="8" w:tentative="0">
      <w:start w:val="1"/>
      <w:numFmt w:val="lowerRoman"/>
      <w:lvlText w:val="%9."/>
      <w:lvlJc w:val="right"/>
      <w:pPr>
        <w:ind w:left="31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5MDI1NWVlZTA3M2EwNDgwMWZmY2JjMGZkNDBiZjQifQ=="/>
  </w:docVars>
  <w:rsids>
    <w:rsidRoot w:val="0E07285A"/>
    <w:rsid w:val="00014555"/>
    <w:rsid w:val="00026E31"/>
    <w:rsid w:val="00087337"/>
    <w:rsid w:val="000E6428"/>
    <w:rsid w:val="0018670D"/>
    <w:rsid w:val="001A2D38"/>
    <w:rsid w:val="001D5C34"/>
    <w:rsid w:val="002154F5"/>
    <w:rsid w:val="00236987"/>
    <w:rsid w:val="002A044C"/>
    <w:rsid w:val="003268CC"/>
    <w:rsid w:val="00396046"/>
    <w:rsid w:val="003C2D85"/>
    <w:rsid w:val="003D762B"/>
    <w:rsid w:val="00451237"/>
    <w:rsid w:val="00451FE1"/>
    <w:rsid w:val="00466DD0"/>
    <w:rsid w:val="004C2192"/>
    <w:rsid w:val="005B5BBB"/>
    <w:rsid w:val="00602ADF"/>
    <w:rsid w:val="0060542C"/>
    <w:rsid w:val="006272F3"/>
    <w:rsid w:val="0065076D"/>
    <w:rsid w:val="00676D01"/>
    <w:rsid w:val="006C23F9"/>
    <w:rsid w:val="00711F33"/>
    <w:rsid w:val="00722FD7"/>
    <w:rsid w:val="00726DD7"/>
    <w:rsid w:val="007A6D22"/>
    <w:rsid w:val="00806EC6"/>
    <w:rsid w:val="00827D3B"/>
    <w:rsid w:val="0084178A"/>
    <w:rsid w:val="00877E29"/>
    <w:rsid w:val="008B4FBD"/>
    <w:rsid w:val="008D5C40"/>
    <w:rsid w:val="00992354"/>
    <w:rsid w:val="009B34DE"/>
    <w:rsid w:val="009B61D6"/>
    <w:rsid w:val="009D671A"/>
    <w:rsid w:val="00A417D2"/>
    <w:rsid w:val="00AA2E46"/>
    <w:rsid w:val="00B62422"/>
    <w:rsid w:val="00B860D7"/>
    <w:rsid w:val="00BF4DA2"/>
    <w:rsid w:val="00C22301"/>
    <w:rsid w:val="00C35DF8"/>
    <w:rsid w:val="00C57B30"/>
    <w:rsid w:val="00D46903"/>
    <w:rsid w:val="00D724E8"/>
    <w:rsid w:val="00DE7395"/>
    <w:rsid w:val="00E20EC8"/>
    <w:rsid w:val="00E773F1"/>
    <w:rsid w:val="00E83085"/>
    <w:rsid w:val="00EE07D0"/>
    <w:rsid w:val="00F038CD"/>
    <w:rsid w:val="00F5761B"/>
    <w:rsid w:val="00F64B23"/>
    <w:rsid w:val="00F75E53"/>
    <w:rsid w:val="00FB6CEF"/>
    <w:rsid w:val="02CC37A4"/>
    <w:rsid w:val="048F45D9"/>
    <w:rsid w:val="062A6D4F"/>
    <w:rsid w:val="070A1608"/>
    <w:rsid w:val="07EA6153"/>
    <w:rsid w:val="0B5E3A81"/>
    <w:rsid w:val="0E07285A"/>
    <w:rsid w:val="0E2D67EA"/>
    <w:rsid w:val="131D38ED"/>
    <w:rsid w:val="191A0EB6"/>
    <w:rsid w:val="1B52363D"/>
    <w:rsid w:val="20046959"/>
    <w:rsid w:val="22DC2A14"/>
    <w:rsid w:val="26A86E7D"/>
    <w:rsid w:val="29750283"/>
    <w:rsid w:val="2B871D5E"/>
    <w:rsid w:val="2E585F80"/>
    <w:rsid w:val="31FC2A59"/>
    <w:rsid w:val="34B660D7"/>
    <w:rsid w:val="37690F1F"/>
    <w:rsid w:val="37A50886"/>
    <w:rsid w:val="38501C3A"/>
    <w:rsid w:val="3B2C218A"/>
    <w:rsid w:val="3EA404FB"/>
    <w:rsid w:val="43025F3E"/>
    <w:rsid w:val="46CC4E45"/>
    <w:rsid w:val="47890AFD"/>
    <w:rsid w:val="4B5860BE"/>
    <w:rsid w:val="4D054492"/>
    <w:rsid w:val="4EF51267"/>
    <w:rsid w:val="50AE3312"/>
    <w:rsid w:val="520166A1"/>
    <w:rsid w:val="52BE5784"/>
    <w:rsid w:val="57501678"/>
    <w:rsid w:val="5CA943D1"/>
    <w:rsid w:val="5E53088B"/>
    <w:rsid w:val="5F6E2DE9"/>
    <w:rsid w:val="5FDB60AE"/>
    <w:rsid w:val="60541060"/>
    <w:rsid w:val="61170326"/>
    <w:rsid w:val="623B4DEC"/>
    <w:rsid w:val="679B68B4"/>
    <w:rsid w:val="6B485487"/>
    <w:rsid w:val="6B541E5F"/>
    <w:rsid w:val="6FCE2AEB"/>
    <w:rsid w:val="712B70A0"/>
    <w:rsid w:val="71417CA3"/>
    <w:rsid w:val="75395086"/>
    <w:rsid w:val="760748D2"/>
    <w:rsid w:val="76A94BCE"/>
    <w:rsid w:val="771B1186"/>
    <w:rsid w:val="7B7425C9"/>
    <w:rsid w:val="7D573900"/>
    <w:rsid w:val="7DFB52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rFonts w:ascii="微软雅黑" w:hAnsi="微软雅黑"/>
      <w:b/>
      <w:bCs/>
    </w:rPr>
  </w:style>
  <w:style w:type="paragraph" w:styleId="3">
    <w:name w:val="footer"/>
    <w:basedOn w:val="1"/>
    <w:link w:val="17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unhideWhenUsed/>
    <w:qFormat/>
    <w:uiPriority w:val="99"/>
    <w:rPr>
      <w:color w:val="0563C1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Table Paragraph"/>
    <w:basedOn w:val="1"/>
    <w:qFormat/>
    <w:uiPriority w:val="1"/>
  </w:style>
  <w:style w:type="table" w:customStyle="1" w:styleId="11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font41"/>
    <w:basedOn w:val="7"/>
    <w:qFormat/>
    <w:uiPriority w:val="0"/>
    <w:rPr>
      <w:rFonts w:hint="default"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3">
    <w:name w:val="font51"/>
    <w:basedOn w:val="7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4">
    <w:name w:val="font31"/>
    <w:basedOn w:val="7"/>
    <w:qFormat/>
    <w:uiPriority w:val="0"/>
    <w:rPr>
      <w:rFonts w:hint="eastAsia" w:ascii="微软雅黑" w:hAnsi="微软雅黑" w:eastAsia="微软雅黑" w:cs="微软雅黑"/>
      <w:b/>
      <w:bCs/>
      <w:color w:val="000000"/>
      <w:sz w:val="20"/>
      <w:szCs w:val="20"/>
      <w:u w:val="none"/>
    </w:rPr>
  </w:style>
  <w:style w:type="character" w:customStyle="1" w:styleId="15">
    <w:name w:val="font71"/>
    <w:basedOn w:val="7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6">
    <w:name w:val="页眉 字符"/>
    <w:basedOn w:val="7"/>
    <w:link w:val="4"/>
    <w:qFormat/>
    <w:uiPriority w:val="0"/>
    <w:rPr>
      <w:rFonts w:ascii="Tahoma" w:hAnsi="Tahoma" w:eastAsia="微软雅黑" w:cs="Times New Roman"/>
      <w:sz w:val="18"/>
      <w:szCs w:val="18"/>
    </w:rPr>
  </w:style>
  <w:style w:type="character" w:customStyle="1" w:styleId="17">
    <w:name w:val="页脚 字符"/>
    <w:basedOn w:val="7"/>
    <w:link w:val="3"/>
    <w:uiPriority w:val="0"/>
    <w:rPr>
      <w:rFonts w:ascii="Tahoma" w:hAnsi="Tahoma" w:eastAsia="微软雅黑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2769</Words>
  <Characters>2904</Characters>
  <Lines>22</Lines>
  <Paragraphs>6</Paragraphs>
  <TotalTime>94</TotalTime>
  <ScaleCrop>false</ScaleCrop>
  <LinksUpToDate>false</LinksUpToDate>
  <CharactersWithSpaces>2922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2021-08-18T04:36:00Z</dcterms:created>
  <dc:creator>鹘鹰</dc:creator>
  <cp:lastModifiedBy>朱松杰</cp:lastModifiedBy>
  <dcterms:modified xsi:type="dcterms:W3CDTF">2023-09-20T02:38:42Z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CA4C1704A1C546A9A7183AA0C0FDBA9B</vt:lpwstr>
  </property>
</Properties>
</file>