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届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中华杯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互联网综合选品运营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竞赛方案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竞赛目的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互联网综合选品运营</w:t>
      </w:r>
      <w:r>
        <w:rPr>
          <w:rFonts w:hint="eastAsia" w:ascii="宋体" w:hAnsi="宋体" w:eastAsia="宋体" w:cs="宋体"/>
          <w:sz w:val="28"/>
          <w:szCs w:val="28"/>
        </w:rPr>
        <w:t>的技能型人才搭建展示技艺的平台，提供切磋交流的载体，营造崇尚技能、匠心筑梦的良好社会氛围。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主办单位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上海市人力资源和社会保障局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上海市教育委员会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承办协办单位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松江</w:t>
      </w:r>
      <w:r>
        <w:rPr>
          <w:rFonts w:hint="eastAsia" w:ascii="宋体" w:hAnsi="宋体" w:eastAsia="宋体" w:cs="宋体"/>
          <w:sz w:val="28"/>
          <w:szCs w:val="28"/>
        </w:rPr>
        <w:t>中华职业教育社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上海农林职业技术学院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跨赢信息科技有限公司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竞赛对象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从事电子商务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市场营销及跨境电商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新媒体等</w:t>
      </w:r>
      <w:r>
        <w:rPr>
          <w:rFonts w:hint="eastAsia" w:ascii="宋体" w:hAnsi="宋体" w:eastAsia="宋体" w:cs="宋体"/>
          <w:sz w:val="28"/>
          <w:szCs w:val="28"/>
        </w:rPr>
        <w:t>相关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专业或互联网营销选品相关课程的</w:t>
      </w:r>
      <w:r>
        <w:rPr>
          <w:rFonts w:hint="eastAsia" w:ascii="宋体" w:hAnsi="宋体" w:eastAsia="宋体" w:cs="宋体"/>
          <w:sz w:val="28"/>
          <w:szCs w:val="28"/>
        </w:rPr>
        <w:t>职业院校专业教师（包括实习指导教师）、社会培训机构培训教师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企业培训教师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报名方法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报名日期：2023年10月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报名时填写“2023年第十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届上海市“中华杯”职业技能竞赛报名表”（格式见附件），可用电子邮件形式通过网上报名。报名邮箱地址：310280148@qq.com</w: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</w:rPr>
        <w:instrText xml:space="preserve"> HYPERLINK "mailto:407917282@qq.com" </w:instrTex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</w:rPr>
        <w:t>，报名联系人：杨冬梅   联系电话（手机）：19921529368</w:t>
      </w:r>
      <w:r>
        <w:rPr>
          <w:rFonts w:hint="eastAsia" w:ascii="宋体" w:hAnsi="宋体" w:cs="宋体"/>
          <w:color w:val="auto"/>
          <w:sz w:val="28"/>
          <w:szCs w:val="28"/>
          <w:lang w:val="en-US" w:eastAsia="zh-Hans"/>
        </w:rPr>
        <w:t>;</w:t>
      </w:r>
      <w:r>
        <w:rPr>
          <w:rFonts w:hint="default" w:ascii="宋体" w:hAnsi="宋体" w:cs="宋体"/>
          <w:color w:val="auto"/>
          <w:sz w:val="28"/>
          <w:szCs w:val="28"/>
          <w:lang w:eastAsia="zh-Hans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val="en-US" w:eastAsia="zh-Hans"/>
        </w:rPr>
        <w:t>跨赢科技</w:t>
      </w:r>
      <w:r>
        <w:rPr>
          <w:rFonts w:hint="default" w:ascii="宋体" w:hAnsi="宋体" w:cs="宋体"/>
          <w:color w:val="auto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联系电话（手机）：</w:t>
      </w:r>
      <w:r>
        <w:rPr>
          <w:rFonts w:hint="default" w:ascii="宋体" w:hAnsi="宋体" w:eastAsia="宋体" w:cs="宋体"/>
          <w:color w:val="auto"/>
          <w:sz w:val="28"/>
          <w:szCs w:val="28"/>
        </w:rPr>
        <w:t>13262921616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</w:pP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firstLine="6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参赛规则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竞赛项目名称：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互联网综合选品运营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新职业“互联网营销师”的出现，折射出直播电商行业爆发式增长带来的人才紧缺。</w:t>
      </w:r>
      <w:r>
        <w:rPr>
          <w:rFonts w:hint="eastAsia" w:ascii="宋体" w:hAnsi="宋体" w:eastAsia="宋体" w:cs="宋体"/>
          <w:sz w:val="28"/>
          <w:szCs w:val="28"/>
        </w:rPr>
        <w:t>本赛项以国家最新颁布的“互联网营销师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选品员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”职业标准为核心，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充分表达了行业应用与职业教育的融合，</w:t>
      </w:r>
      <w:r>
        <w:rPr>
          <w:rFonts w:hint="eastAsia" w:ascii="宋体" w:hAnsi="宋体" w:eastAsia="宋体" w:cs="宋体"/>
          <w:sz w:val="28"/>
          <w:szCs w:val="28"/>
        </w:rPr>
        <w:t>结合企业最新的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数据化选品模式</w:t>
      </w:r>
      <w:r>
        <w:rPr>
          <w:rFonts w:hint="eastAsia" w:ascii="宋体" w:hAnsi="宋体" w:eastAsia="宋体" w:cs="宋体"/>
          <w:sz w:val="28"/>
          <w:szCs w:val="28"/>
        </w:rPr>
        <w:t>。参赛选手通过虚拟仿真环境设定的专业理论知识和操作技能，包含：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选品准备、选品分析、选品工具、风险评估、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市场调研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调研结果分析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样品收集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样品试用及分析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确定营销卖点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提炼</w:t>
      </w:r>
      <w:r>
        <w:rPr>
          <w:rFonts w:hint="eastAsia" w:ascii="宋体" w:hAnsi="宋体" w:eastAsia="宋体" w:cs="宋体"/>
          <w:sz w:val="28"/>
          <w:szCs w:val="28"/>
        </w:rPr>
        <w:t>等。目的是使参赛选手通过理实结合的比赛掌握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综合选品运营的</w:t>
      </w:r>
      <w:r>
        <w:rPr>
          <w:rFonts w:hint="eastAsia" w:ascii="宋体" w:hAnsi="宋体" w:eastAsia="宋体" w:cs="宋体"/>
          <w:sz w:val="28"/>
          <w:szCs w:val="28"/>
        </w:rPr>
        <w:t>相关知识和实践操作，从而更好的应用到实际工作中，全面提高参赛选手的综合技能。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互联网营销师选品员方向具有较强的社会通用性，适应多种社会岗位需要，如跨境电商选品员、电商直播选品员、产品分析专员等。 本赛项以专业技术能力为切入点，通过大赛探索人才培养新途径。以赛促学,培养创新创业生力军。以赛促进,着力将教育融入经济社会产业发展,促进双创教育工作的交流与深入发展,以创新引领创业、以创业带动就业,为区域经济提供专业化人才。</w:t>
      </w: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454" w:leftChars="216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竞赛方式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竞赛采取</w:t>
      </w:r>
      <w:r>
        <w:rPr>
          <w:rFonts w:hint="eastAsia" w:ascii="宋体" w:hAnsi="宋体" w:eastAsia="宋体" w:cs="宋体"/>
          <w:b/>
          <w:sz w:val="28"/>
          <w:szCs w:val="28"/>
        </w:rPr>
        <w:t>个人比赛方式</w:t>
      </w:r>
      <w:r>
        <w:rPr>
          <w:rFonts w:hint="eastAsia" w:ascii="宋体" w:hAnsi="宋体" w:eastAsia="宋体" w:cs="宋体"/>
          <w:sz w:val="28"/>
          <w:szCs w:val="28"/>
        </w:rPr>
        <w:t>，选手须为2023年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在教与</w:t>
      </w:r>
      <w:r>
        <w:rPr>
          <w:rFonts w:hint="eastAsia" w:ascii="宋体" w:hAnsi="宋体" w:eastAsia="宋体" w:cs="宋体"/>
          <w:sz w:val="28"/>
          <w:szCs w:val="28"/>
        </w:rPr>
        <w:t>新媒体、电子商务、市场营销、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商务数据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、跨境电商</w:t>
      </w:r>
      <w:r>
        <w:rPr>
          <w:rFonts w:hint="eastAsia" w:ascii="宋体" w:hAnsi="宋体" w:eastAsia="宋体" w:cs="宋体"/>
          <w:sz w:val="28"/>
          <w:szCs w:val="28"/>
        </w:rPr>
        <w:t>等新文科、大商科相关专业的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教师</w:t>
      </w:r>
      <w:r>
        <w:rPr>
          <w:rFonts w:hint="eastAsia" w:ascii="宋体" w:hAnsi="宋体" w:eastAsia="宋体" w:cs="宋体"/>
          <w:sz w:val="28"/>
          <w:szCs w:val="28"/>
        </w:rPr>
        <w:t>（每校限报3人）。每位参赛者在系统中选择一家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互联网营销运营的公司</w:t>
      </w:r>
      <w:r>
        <w:rPr>
          <w:rFonts w:hint="eastAsia" w:ascii="宋体" w:hAnsi="宋体" w:eastAsia="宋体" w:cs="宋体"/>
          <w:sz w:val="28"/>
          <w:szCs w:val="28"/>
        </w:rPr>
        <w:t>。通过实际运营企业，了解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互联网营销师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选品员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的主要工作内容、方法及过程，并将理论知识落地且应用到指导实际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工作中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竞赛由职业能力测评和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两个赛段组成，参赛选手必须参加所有赛段，分数为两赛段加权之和，职业能力测评占30%，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技能操作</w:t>
      </w:r>
      <w:r>
        <w:rPr>
          <w:rFonts w:hint="eastAsia" w:ascii="宋体" w:hAnsi="宋体" w:eastAsia="宋体" w:cs="宋体"/>
          <w:sz w:val="28"/>
          <w:szCs w:val="28"/>
        </w:rPr>
        <w:t>70%。</w:t>
      </w:r>
    </w:p>
    <w:p>
      <w:pPr>
        <w:pageBreakBefore w:val="0"/>
        <w:widowControl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本赛段参赛选手对平台所提供的《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互联网营销师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》理实一体化课程及“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跨赢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Hans"/>
        </w:rPr>
        <w:t>互联网综合选品运营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平台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”进行自主学习，也可根据需要自主扩展学习；竞赛时利用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  <w:t>跨赢理论知识鉴定平台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进行电子化答题（30分钟）</w:t>
      </w:r>
    </w:p>
    <w:p>
      <w:pPr>
        <w:pageBreakBefore w:val="0"/>
        <w:widowControl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本赛段所有参赛选手进入同一环境中，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通过案例引导综合运营操作</w:t>
      </w:r>
      <w:r>
        <w:rPr>
          <w:rFonts w:hint="eastAsia" w:ascii="宋体" w:hAnsi="宋体" w:eastAsia="宋体" w:cs="宋体"/>
          <w:sz w:val="28"/>
          <w:szCs w:val="28"/>
        </w:rPr>
        <w:t>，系统自动打分。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综合运营操作以企业真实选品运营的全流程为蓝本</w:t>
      </w:r>
      <w:r>
        <w:rPr>
          <w:rFonts w:hint="eastAsia" w:ascii="宋体" w:hAnsi="宋体" w:eastAsia="宋体" w:cs="宋体"/>
          <w:sz w:val="28"/>
          <w:szCs w:val="28"/>
        </w:rPr>
        <w:t>，在比赛规定时间内完成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选品实操题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结束后，系统自动评分，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综合操作总分的百分之七十</w:t>
      </w:r>
      <w:r>
        <w:rPr>
          <w:rFonts w:hint="eastAsia" w:ascii="宋体" w:hAnsi="宋体" w:eastAsia="宋体" w:cs="宋体"/>
          <w:sz w:val="28"/>
          <w:szCs w:val="28"/>
        </w:rPr>
        <w:t>作为该参赛选手的运营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成绩；评分规则参照</w:t>
      </w:r>
      <w:r>
        <w:rPr>
          <w:rFonts w:hint="eastAsia" w:ascii="宋体" w:hAnsi="宋体" w:eastAsia="宋体" w:cs="宋体"/>
          <w:b/>
          <w:sz w:val="28"/>
          <w:szCs w:val="28"/>
        </w:rPr>
        <w:t>3.竞赛评分方式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454" w:leftChars="216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竞赛考点说明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职业能力测评根据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互联网综合选品运营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管理</w:t>
      </w:r>
      <w:r>
        <w:rPr>
          <w:rFonts w:hint="eastAsia" w:ascii="宋体" w:hAnsi="宋体" w:eastAsia="宋体" w:cs="宋体"/>
          <w:sz w:val="28"/>
          <w:szCs w:val="28"/>
        </w:rPr>
        <w:t>所需理论知识设置考点内容：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03"/>
        <w:gridCol w:w="325"/>
        <w:gridCol w:w="404"/>
        <w:gridCol w:w="436"/>
        <w:gridCol w:w="497"/>
        <w:gridCol w:w="4592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7" w:hRule="atLeast"/>
        </w:trPr>
        <w:tc>
          <w:tcPr>
            <w:tcW w:w="5000" w:type="pct"/>
            <w:gridSpan w:val="7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highlight w:val="none"/>
                <w:lang w:eastAsia="zh-Hans"/>
              </w:rPr>
              <w:t>互联网综合选品运营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highlight w:val="none"/>
                <w:lang w:val="en-US" w:eastAsia="zh-Hans"/>
              </w:rPr>
              <w:t>职业能力测评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章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节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目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点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名称·内容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职业认知与职业道德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互联网营销师职业认知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1"/>
              <w:ind w:left="35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互联网营销师的职业介绍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1"/>
              <w:ind w:left="35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互联网营销师的工作内容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1"/>
              <w:ind w:left="35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互联网营销师的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职业工种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1"/>
              <w:ind w:left="35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互联网营销师职业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的职业技能等级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职业道德的基本知识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职业守则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明确法律的责任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强化行为的规范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引领主流的价值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切实维护消费者权益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道德规范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道德规范的六个要求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计算机的基础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pStyle w:val="39"/>
              <w:spacing w:before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计算机硬件设备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计算机发展和类型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计算机的介绍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计算机的原理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我国计算机技术的发展历程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计算机组成结构及未来发展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计算机的类型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未来计算机的发展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计算机软件及网络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计算机软件的分类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计算机软件的概述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计算机程序设计语言的发展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系统软件的定义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应用软件的定义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网络组成及应用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因特网的基本内容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计算机网络的组成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计算机网络的分类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因特网的接入方式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9"/>
              <w:spacing w:before="56"/>
              <w:ind w:left="37" w:lef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认识网络的常用设备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应用软件的介绍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微软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office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软件的用途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Hans"/>
              </w:rPr>
              <w:t>wps office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软件的用途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工具类软件的介绍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WINRAR软件的用途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驱动精灵软件的用途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腾讯电脑管家软件的用途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社交软件的介绍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微信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微博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抖音的用途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3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哔哩哔哩的用途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6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Hans" w:bidi="ar-SA"/>
              </w:rPr>
              <w:t>浏览器的基本介绍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浏览器的用途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安全基础知识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网络信息安全威胁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网络攻击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的的定义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Hans" w:bidi="ar"/>
              </w:rPr>
              <w:t>个人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信息安全中非技术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Hans" w:bidi="ar"/>
              </w:rPr>
              <w:t>的措施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网络信息安全保护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数据加密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的作用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网络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认证技术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的目的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网络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防御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技术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设备实体安全与存储介质安全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设备的实体安全定义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影响计算机实体安全的主要因素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存储介质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的定义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存储介质安全防护措施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物理环境安全与通信线路安全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 xml:space="preserve"> 42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  <w:t>物理环境的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选址安全要求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通信线路安全防护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工作准备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宣传准备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图文素材搜集的方法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图文素材的基本概念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获取图文素材的主要途径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网络检索工具使用方法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网络搜索工具的概述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整理收集的产品素材信息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方式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图文信息的设计技巧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图文信息标题的要求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49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图文信息内容的要求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软件和材料准备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软件的下载安装方法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软件安装方法概述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直播软件的概述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硬件的安装调试方法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硬件安装方法概述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直播硬件的概述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直播样品搜集的方法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直播样品的遴选意义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直播样品的遴选计划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直播样品的出场顺序要求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道具场地选择方法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直播间场地的设置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直播间背景的布置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风险评估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故障的解决方法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59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断网故障的解决方法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硬件故障的解决方法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营销过程中法律、法规的风险判断方法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直播平台关于营销的规则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与营销有关的法律法规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产品信息收集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市场调研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产品销售信息汇总的方法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产品销售信息收集和汇总方法概述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遴选营销产品的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来源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产品销售信息的收集方法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产品销售信息的汇总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收集产品营销方案的基本内容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产品的属性要求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产品的定位要求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69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目标用户的定位意义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竞品的选择要求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竞品的分析纬度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分析的准则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样品搜集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样品的选择方法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样品的性价比选择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平台的爆款产品选择样品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体验结果的对比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账号定位的属性选择样品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粉丝的需求选择样品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复购率高选择样品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物流信息查询的常用方法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79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搜索引擎的查询方法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快递公司官网的查询方法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样品到达要求的记录方法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样品到达状态的记录方法概述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6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设计到货样品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Hans" w:bidi="ar"/>
              </w:rPr>
              <w:t>记录表的方法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记录样品到达时的状态信息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商品检验与养护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商品检验的方法概述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89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商品检验的类型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商品检验的内容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商品检验的依据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商品抽样的原则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Hans" w:bidi="ar-SA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要求与方法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商品抽样的定义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商品抽样的原则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商品抽样的检验方法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商品包装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商品包装的概述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商品包装的分类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商品包装的技术要求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商品包装的材料选择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98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商品运输包装的要求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产品确定及规划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样品试用及分析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样品试用及注意事项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样品试用注意事项综述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商城平台领取样品的注意事项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样品状态的检查方法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样品分类的方法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撰写产品外观、包装等基础信息报告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产品信息与样品的对比方法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109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产品信息与样品的对比方法概述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对比分析产品信息与样品的差异点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样品供应商资质的确认方法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样品供应商选择的影响因素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  <w:t>样品的信息记录方法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分析营销卖点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分析产品的优点及缺点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产品优缺点汇总方法综述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分析产品的品质概述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控制产品成本的意义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售后服务的要求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产品的历史口碑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产品介绍的编写方法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119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产品介绍的基本要素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产品介绍编写的内容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产品标题的编写特点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产品属性的卖点提炼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产品差异化优势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的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提炼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产品上架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手机端的上架流程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电脑端的上架流程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上传产品的图文流程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设置产品的库存流程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设置服务与售后的流程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商谈合作方式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选品谈判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选品谈判的基本礼仪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129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选品谈判的基本内容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产品定位进行谈判的要点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产品价格进行谈判的要点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产品质量进行谈判的要点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产品售中谈判的要点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7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产品售后谈判的要点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产品报价的方法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基于产品的定位报价特点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基于产品的优势报价特点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基于产品时效性报价特点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常规报价表的基本属性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产品报价商议方法概述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对产品进行成本预估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141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7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设计梯度报价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142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8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撰写合作定价方案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143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9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定价方案谈判基本要素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与商家签订合作协议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144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1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合作协议的主要内容和签订方法概述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145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2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基于《合同法》起草与商家的合作协议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146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就合作协议与商家磋商异议的条款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147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4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签订合同的基本原则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148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签订合同的基本要素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149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6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常规供应链与主播的合同范本要求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</w:trPr>
        <w:tc>
          <w:tcPr>
            <w:tcW w:w="358" w:type="pct"/>
            <w:shd w:val="clear" w:color="auto" w:fill="auto"/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150</w:t>
            </w:r>
          </w:p>
        </w:tc>
        <w:tc>
          <w:tcPr>
            <w:tcW w:w="193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5</w:t>
            </w:r>
          </w:p>
        </w:tc>
        <w:tc>
          <w:tcPr>
            <w:tcW w:w="240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59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3</w:t>
            </w:r>
          </w:p>
        </w:tc>
        <w:tc>
          <w:tcPr>
            <w:tcW w:w="295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eastAsia="zh-CN" w:bidi="ar-SA"/>
              </w:rPr>
              <w:t>7</w:t>
            </w:r>
          </w:p>
        </w:tc>
        <w:tc>
          <w:tcPr>
            <w:tcW w:w="2727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常规供应商与主播的合同范本要求</w:t>
            </w:r>
          </w:p>
        </w:tc>
        <w:tc>
          <w:tcPr>
            <w:tcW w:w="926" w:type="pct"/>
            <w:shd w:val="clear" w:color="auto" w:fill="auto"/>
            <w:noWrap w:val="0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/>
        <w:adjustRightInd w:val="0"/>
        <w:snapToGrid w:val="0"/>
        <w:spacing w:line="276" w:lineRule="auto"/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tbl>
      <w:tblPr>
        <w:tblStyle w:val="15"/>
        <w:tblpPr w:leftFromText="180" w:rightFromText="180" w:vertAnchor="text" w:horzAnchor="page" w:tblpX="1810" w:tblpY="707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573"/>
        <w:gridCol w:w="576"/>
        <w:gridCol w:w="556"/>
        <w:gridCol w:w="556"/>
        <w:gridCol w:w="4318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5000" w:type="pct"/>
            <w:gridSpan w:val="6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highlight w:val="none"/>
                <w:lang w:eastAsia="zh-Hans"/>
              </w:rPr>
              <w:t>互联网综合选品运营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highlight w:val="none"/>
                <w:lang w:val="en-US" w:eastAsia="zh-Hans"/>
              </w:rPr>
              <w:t>操作测评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项目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单元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细目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名 称·内 容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工作准备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  <w:t>宣传准备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能完成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产品图文素材搜集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能完成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产品视频素材搜集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能进行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产品素材的整理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能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制作专属产品宣传素材的模版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软件和材料准备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before="99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创建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单品样品信息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7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86"/>
              </w:tabs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样品库库存盘点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关联直播样品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before="99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直播间样品搭配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产品信息收集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  <w:t>市场调研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17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产品信息采集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18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用户画像信息采集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产品卖点信息采集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eastAsia="zh-CN" w:bidi="ar-SA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Hans" w:bidi="ar-SA"/>
              </w:rPr>
              <w:t>调研结果分析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22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粉丝信息分析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23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用户行为分析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24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消费偏好分析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25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lang w:eastAsia="zh-CN" w:bidi="ar-SA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top"/>
          </w:tcPr>
          <w:p>
            <w:pPr>
              <w:pStyle w:val="39"/>
              <w:spacing w:line="252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产品信息分析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  <w:t>样品搜集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36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27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创建样品要求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36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28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样品入库操作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2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29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样品分类整理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30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创建样品试用流程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Hans"/>
              </w:rPr>
              <w:t>产品确定及规划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  <w:t>分析营销卖点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5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37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ind w:left="0" w:leftChars="0" w:firstLine="0" w:firstLineChars="0"/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Hans" w:bidi="ar-SA"/>
              </w:rPr>
              <w:t>创建营销定位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38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ind w:left="0" w:leftChars="0" w:firstLine="0" w:firstLineChars="0"/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Hans" w:bidi="ar-SA"/>
              </w:rPr>
              <w:t>根据用户画像</w:t>
            </w:r>
            <w:r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CN" w:bidi="ar-SA"/>
              </w:rPr>
              <w:t>明确产品定位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39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ind w:left="0" w:leftChars="0" w:firstLine="0" w:firstLineChars="0"/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pacing w:val="8"/>
                <w:kern w:val="2"/>
                <w:sz w:val="20"/>
                <w:szCs w:val="20"/>
                <w:lang w:val="en-US" w:eastAsia="zh-CN" w:bidi="ar-SA"/>
              </w:rPr>
              <w:t>设计产品营销步骤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40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提炼产品营销卖点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Hans"/>
              </w:rPr>
              <w:t>商谈合作方式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42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tabs>
                <w:tab w:val="left" w:pos="695"/>
              </w:tabs>
              <w:spacing w:line="269" w:lineRule="exact"/>
              <w:ind w:left="0" w:leftChars="0" w:firstLine="0" w:firstLineChars="0"/>
              <w:rPr>
                <w:rFonts w:hint="eastAsia" w:ascii="宋体" w:hAnsi="宋体" w:eastAsia="宋体" w:cs="宋体"/>
                <w:spacing w:val="8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val="en-US" w:eastAsia="zh-Hans"/>
              </w:rPr>
              <w:t>合作建议设置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43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pacing w:val="8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编写合作方式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44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  <w:t>编写结算方案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3" w:hRule="atLeast"/>
        </w:trPr>
        <w:tc>
          <w:tcPr>
            <w:tcW w:w="341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45</w:t>
            </w:r>
          </w:p>
        </w:tc>
        <w:tc>
          <w:tcPr>
            <w:tcW w:w="34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564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编写合作协议</w:t>
            </w:r>
          </w:p>
        </w:tc>
        <w:tc>
          <w:tcPr>
            <w:tcW w:w="1092" w:type="pc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根据评比指标，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操作技能考核采用现场实际操作方式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在实战中</w:t>
      </w:r>
      <w:r>
        <w:rPr>
          <w:rFonts w:hint="eastAsia" w:ascii="宋体" w:hAnsi="宋体" w:eastAsia="宋体" w:cs="宋体"/>
          <w:sz w:val="28"/>
          <w:szCs w:val="28"/>
        </w:rPr>
        <w:t>找出能提升这些指标的方法，积极运用相关理论知识做出决策。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57" w:afterLines="50" w:line="500" w:lineRule="exact"/>
        <w:ind w:left="454" w:leftChars="216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竞赛评分方式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sz w:val="28"/>
          <w:szCs w:val="28"/>
        </w:rPr>
        <w:t>职业能力测评评分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40"/>
        <w:tblW w:w="502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1635"/>
        <w:gridCol w:w="1306"/>
        <w:gridCol w:w="1393"/>
        <w:gridCol w:w="1420"/>
        <w:gridCol w:w="11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92" w:type="pct"/>
            <w:vAlign w:val="center"/>
          </w:tcPr>
          <w:p>
            <w:pPr>
              <w:pStyle w:val="39"/>
              <w:spacing w:before="22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题型、题量</w:t>
            </w:r>
          </w:p>
        </w:tc>
        <w:tc>
          <w:tcPr>
            <w:tcW w:w="978" w:type="pct"/>
            <w:vAlign w:val="center"/>
          </w:tcPr>
          <w:p>
            <w:pPr>
              <w:pStyle w:val="39"/>
              <w:spacing w:before="178"/>
              <w:ind w:left="73" w:right="6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考试方式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spacing w:before="178"/>
              <w:ind w:left="73" w:right="6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鉴定题量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spacing w:before="178"/>
              <w:ind w:left="89" w:right="6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分值（分/题）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spacing w:before="178"/>
              <w:ind w:left="216" w:right="203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Hans"/>
              </w:rPr>
              <w:t>考核时间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spacing w:before="178"/>
              <w:ind w:left="216" w:right="203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配分（分）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92" w:type="pct"/>
            <w:vAlign w:val="center"/>
          </w:tcPr>
          <w:p>
            <w:pPr>
              <w:pStyle w:val="39"/>
              <w:spacing w:before="152"/>
              <w:ind w:right="717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判断题</w:t>
            </w:r>
          </w:p>
        </w:tc>
        <w:tc>
          <w:tcPr>
            <w:tcW w:w="978" w:type="pct"/>
            <w:vMerge w:val="restart"/>
            <w:vAlign w:val="center"/>
          </w:tcPr>
          <w:p>
            <w:pPr>
              <w:pStyle w:val="39"/>
              <w:spacing w:before="2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pStyle w:val="3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闭卷机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考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spacing w:before="163"/>
              <w:ind w:left="69" w:right="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spacing w:before="163"/>
              <w:ind w:left="74" w:right="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spacing w:before="163"/>
              <w:ind w:left="211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spacing w:before="163"/>
              <w:ind w:left="211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92" w:type="pct"/>
            <w:vAlign w:val="center"/>
          </w:tcPr>
          <w:p>
            <w:pPr>
              <w:pStyle w:val="39"/>
              <w:spacing w:before="149"/>
              <w:ind w:right="717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单选题</w:t>
            </w:r>
          </w:p>
        </w:tc>
        <w:tc>
          <w:tcPr>
            <w:tcW w:w="978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vAlign w:val="center"/>
          </w:tcPr>
          <w:p>
            <w:pPr>
              <w:pStyle w:val="39"/>
              <w:spacing w:before="161"/>
              <w:ind w:left="73" w:right="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spacing w:before="161"/>
              <w:ind w:left="74" w:right="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spacing w:before="161"/>
              <w:ind w:left="211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spacing w:before="161"/>
              <w:ind w:left="211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92" w:type="pct"/>
            <w:vAlign w:val="center"/>
          </w:tcPr>
          <w:p>
            <w:pPr>
              <w:pStyle w:val="39"/>
              <w:spacing w:before="149"/>
              <w:ind w:right="717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小计</w:t>
            </w:r>
          </w:p>
        </w:tc>
        <w:tc>
          <w:tcPr>
            <w:tcW w:w="978" w:type="pct"/>
            <w:vAlign w:val="center"/>
          </w:tcPr>
          <w:p>
            <w:pPr>
              <w:pStyle w:val="39"/>
              <w:spacing w:before="149"/>
              <w:ind w:left="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</w:p>
        </w:tc>
        <w:tc>
          <w:tcPr>
            <w:tcW w:w="781" w:type="pct"/>
            <w:vAlign w:val="center"/>
          </w:tcPr>
          <w:p>
            <w:pPr>
              <w:pStyle w:val="39"/>
              <w:spacing w:before="161"/>
              <w:ind w:left="73" w:right="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833" w:type="pct"/>
            <w:vAlign w:val="center"/>
          </w:tcPr>
          <w:p>
            <w:pPr>
              <w:pStyle w:val="39"/>
              <w:spacing w:before="149"/>
              <w:ind w:left="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</w:p>
        </w:tc>
        <w:tc>
          <w:tcPr>
            <w:tcW w:w="849" w:type="pct"/>
            <w:vAlign w:val="center"/>
          </w:tcPr>
          <w:p>
            <w:pPr>
              <w:pStyle w:val="39"/>
              <w:spacing w:before="161"/>
              <w:ind w:left="216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665" w:type="pct"/>
            <w:vAlign w:val="center"/>
          </w:tcPr>
          <w:p>
            <w:pPr>
              <w:pStyle w:val="39"/>
              <w:spacing w:before="161"/>
              <w:ind w:left="216" w:right="20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</w:tr>
    </w:tbl>
    <w:p>
      <w:pPr>
        <w:widowControl/>
        <w:adjustRightInd w:val="0"/>
        <w:snapToGrid w:val="0"/>
        <w:spacing w:line="27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/>
        <w:adjustRightInd w:val="0"/>
        <w:snapToGrid w:val="0"/>
        <w:spacing w:line="276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>
      <w:pPr>
        <w:widowControl/>
        <w:adjustRightInd w:val="0"/>
        <w:snapToGrid w:val="0"/>
        <w:spacing w:line="276" w:lineRule="auto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1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748"/>
        <w:gridCol w:w="1369"/>
        <w:gridCol w:w="621"/>
        <w:gridCol w:w="1601"/>
        <w:gridCol w:w="821"/>
        <w:gridCol w:w="1475"/>
        <w:gridCol w:w="879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13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369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单元编号</w:t>
            </w:r>
          </w:p>
        </w:tc>
        <w:tc>
          <w:tcPr>
            <w:tcW w:w="951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单元内容</w:t>
            </w:r>
          </w:p>
        </w:tc>
        <w:tc>
          <w:tcPr>
            <w:tcW w:w="488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</w:t>
            </w:r>
          </w:p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方式</w:t>
            </w:r>
          </w:p>
        </w:tc>
        <w:tc>
          <w:tcPr>
            <w:tcW w:w="873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选考方法</w:t>
            </w:r>
          </w:p>
        </w:tc>
        <w:tc>
          <w:tcPr>
            <w:tcW w:w="522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考核时间(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535" w:type="pc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配分（分）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813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工作准备</w:t>
            </w: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宣传准备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3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软件和材料准备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5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风险评估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813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产品信息收集</w:t>
            </w: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市场调研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3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调研结果分析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5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样品收集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10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813" w:type="pct"/>
            <w:vMerge w:val="restart"/>
            <w:noWrap w:val="0"/>
            <w:vAlign w:val="center"/>
          </w:tcPr>
          <w:p>
            <w:pPr>
              <w:ind w:lef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产品确定</w:t>
            </w:r>
          </w:p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及规划</w:t>
            </w: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样品试用及分析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10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确定营销卖点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10</w:t>
            </w:r>
          </w:p>
        </w:tc>
        <w:tc>
          <w:tcPr>
            <w:tcW w:w="535" w:type="pct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45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3" w:type="pct"/>
            <w:vMerge w:val="continue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69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51" w:type="pct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Hans"/>
              </w:rPr>
              <w:t>确定合作方式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Hans"/>
              </w:rPr>
              <w:t>抽考</w:t>
            </w:r>
          </w:p>
        </w:tc>
        <w:tc>
          <w:tcPr>
            <w:tcW w:w="522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5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3942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       计</w:t>
            </w:r>
          </w:p>
        </w:tc>
        <w:tc>
          <w:tcPr>
            <w:tcW w:w="522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100</w:t>
            </w:r>
          </w:p>
        </w:tc>
      </w:tr>
    </w:tbl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sz w:val="28"/>
          <w:szCs w:val="28"/>
        </w:rPr>
        <w:t>总成绩评定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职业能力测评占30%；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综合运营实操测评占70%。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职业能力测评与综合运营实操测评均由系统自动评分，以分数形式给出；两部分成绩合计后为总成绩，按分数从高到低排列参赛选手的名次，当分数相同时，以职业能力测评时间短的选手名次在前。</w:t>
      </w:r>
    </w:p>
    <w:p>
      <w:pPr>
        <w:pStyle w:val="3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57" w:afterLines="50" w:line="276" w:lineRule="auto"/>
        <w:ind w:firstLine="6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竞赛内容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我国互联网营销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相关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从业人员已超1800万人，并持续以每月8.8%的速度快速增长，本次第十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届”中华杯”互联网综合选品运营大赛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结合互联网营销下的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新发展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新业态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新标准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新职业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等重要论述，</w:t>
      </w:r>
      <w:r>
        <w:rPr>
          <w:rFonts w:hint="eastAsia" w:ascii="宋体" w:hAnsi="宋体" w:eastAsia="宋体" w:cs="宋体"/>
          <w:sz w:val="28"/>
          <w:szCs w:val="28"/>
        </w:rPr>
        <w:t>竞赛利用互联网络技术构造的综合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选品运营</w:t>
      </w:r>
      <w:r>
        <w:rPr>
          <w:rFonts w:hint="eastAsia" w:ascii="宋体" w:hAnsi="宋体" w:eastAsia="宋体" w:cs="宋体"/>
          <w:sz w:val="28"/>
          <w:szCs w:val="28"/>
        </w:rPr>
        <w:t>环境，使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参赛者</w:t>
      </w:r>
      <w:r>
        <w:rPr>
          <w:rFonts w:hint="eastAsia" w:ascii="宋体" w:hAnsi="宋体" w:eastAsia="宋体" w:cs="宋体"/>
          <w:sz w:val="28"/>
          <w:szCs w:val="28"/>
        </w:rPr>
        <w:t>可以运用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互联网营销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选品员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的专业知识与操作技能进行理实一体化竞赛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包含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基于人货场的选品策略、依据市场信息分析选品、单场直播货品的配比与更新、货物的预留和返场、商品的定位、竞品分析、产品卖点提炼等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竞赛中，参赛选手会遇到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互联网综合选品运营</w:t>
      </w:r>
      <w:r>
        <w:rPr>
          <w:rFonts w:hint="eastAsia" w:ascii="宋体" w:hAnsi="宋体" w:eastAsia="宋体" w:cs="宋体"/>
          <w:sz w:val="28"/>
          <w:szCs w:val="28"/>
        </w:rPr>
        <w:t>常见的各种典型问题以及竞争市场中变幻莫测的各种情况，使其感悟复杂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互联网营销</w:t>
      </w:r>
      <w:r>
        <w:rPr>
          <w:rFonts w:hint="eastAsia" w:ascii="宋体" w:hAnsi="宋体" w:eastAsia="宋体" w:cs="宋体"/>
          <w:sz w:val="28"/>
          <w:szCs w:val="28"/>
        </w:rPr>
        <w:t>市场环境下如何发现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问题、分析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产品质量</w:t>
      </w:r>
      <w:r>
        <w:rPr>
          <w:rFonts w:hint="eastAsia" w:ascii="宋体" w:hAnsi="宋体" w:eastAsia="宋体" w:cs="宋体"/>
          <w:sz w:val="28"/>
          <w:szCs w:val="28"/>
        </w:rPr>
        <w:t>问题、制定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</w:t>
      </w:r>
      <w:r>
        <w:rPr>
          <w:rFonts w:hint="eastAsia" w:ascii="宋体" w:hAnsi="宋体" w:eastAsia="宋体" w:cs="宋体"/>
          <w:sz w:val="28"/>
          <w:szCs w:val="28"/>
        </w:rPr>
        <w:t>决策、执行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</w:t>
      </w:r>
      <w:r>
        <w:rPr>
          <w:rFonts w:hint="eastAsia" w:ascii="宋体" w:hAnsi="宋体" w:eastAsia="宋体" w:cs="宋体"/>
          <w:sz w:val="28"/>
          <w:szCs w:val="28"/>
        </w:rPr>
        <w:t>决策及解决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选品</w:t>
      </w:r>
      <w:r>
        <w:rPr>
          <w:rFonts w:hint="eastAsia" w:ascii="宋体" w:hAnsi="宋体" w:eastAsia="宋体" w:cs="宋体"/>
          <w:sz w:val="28"/>
          <w:szCs w:val="28"/>
        </w:rPr>
        <w:t>问题，进而提升参赛选手学会工作、学会思考等方面的职业素养。</w:t>
      </w:r>
    </w:p>
    <w:p>
      <w:pPr>
        <w:pStyle w:val="3"/>
        <w:numPr>
          <w:ilvl w:val="0"/>
          <w:numId w:val="1"/>
        </w:numPr>
        <w:spacing w:line="276" w:lineRule="auto"/>
        <w:ind w:firstLine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竞赛时间</w:t>
      </w:r>
    </w:p>
    <w:tbl>
      <w:tblPr>
        <w:tblStyle w:val="1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3"/>
        <w:gridCol w:w="2352"/>
        <w:gridCol w:w="2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1380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内容</w:t>
            </w:r>
          </w:p>
        </w:tc>
        <w:tc>
          <w:tcPr>
            <w:tcW w:w="1552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2023年1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日前</w:t>
            </w:r>
          </w:p>
        </w:tc>
        <w:tc>
          <w:tcPr>
            <w:tcW w:w="1380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竞赛报名</w:t>
            </w:r>
          </w:p>
        </w:tc>
        <w:tc>
          <w:tcPr>
            <w:tcW w:w="1552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加入比赛QQ群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2023年1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日前</w:t>
            </w:r>
          </w:p>
        </w:tc>
        <w:tc>
          <w:tcPr>
            <w:tcW w:w="1380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赛项说明会</w:t>
            </w:r>
          </w:p>
        </w:tc>
        <w:tc>
          <w:tcPr>
            <w:tcW w:w="1552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线上，地址另行通知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2023年1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日</w:t>
            </w:r>
          </w:p>
        </w:tc>
        <w:tc>
          <w:tcPr>
            <w:tcW w:w="1380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分配帐号开始练习</w:t>
            </w:r>
          </w:p>
        </w:tc>
        <w:tc>
          <w:tcPr>
            <w:tcW w:w="1552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2023年1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日</w:t>
            </w:r>
          </w:p>
        </w:tc>
        <w:tc>
          <w:tcPr>
            <w:tcW w:w="1380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跨赢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Hans"/>
              </w:rPr>
              <w:t>互联网综合选品运营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  <w:t>平台</w:t>
            </w:r>
          </w:p>
        </w:tc>
        <w:tc>
          <w:tcPr>
            <w:tcW w:w="1552" w:type="pct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上海农林职业技术学院机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房（如有变化将另行通知）</w:t>
            </w:r>
          </w:p>
        </w:tc>
      </w:tr>
    </w:tbl>
    <w:p>
      <w:pPr>
        <w:pStyle w:val="3"/>
        <w:numPr>
          <w:ilvl w:val="0"/>
          <w:numId w:val="1"/>
        </w:numPr>
        <w:spacing w:line="276" w:lineRule="auto"/>
        <w:ind w:firstLine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竞赛地点</w:t>
      </w:r>
    </w:p>
    <w:p>
      <w:pPr>
        <w:widowControl/>
        <w:adjustRightInd w:val="0"/>
        <w:snapToGrid w:val="0"/>
        <w:spacing w:line="276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上海农林职业技术学院（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上海市松江区中山二路658号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）</w:t>
      </w:r>
    </w:p>
    <w:p>
      <w:pPr>
        <w:pStyle w:val="3"/>
        <w:numPr>
          <w:ilvl w:val="0"/>
          <w:numId w:val="1"/>
        </w:numPr>
        <w:spacing w:line="276" w:lineRule="auto"/>
        <w:ind w:firstLine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奖项设置</w:t>
      </w:r>
    </w:p>
    <w:p>
      <w:pPr>
        <w:widowControl/>
        <w:adjustRightInd w:val="0"/>
        <w:snapToGrid w:val="0"/>
        <w:spacing w:line="276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名</w:t>
      </w:r>
    </w:p>
    <w:p>
      <w:pPr>
        <w:pStyle w:val="3"/>
        <w:numPr>
          <w:ilvl w:val="0"/>
          <w:numId w:val="1"/>
        </w:numPr>
        <w:spacing w:line="276" w:lineRule="auto"/>
        <w:ind w:firstLine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注意事项</w:t>
      </w:r>
    </w:p>
    <w:p>
      <w:pPr>
        <w:widowControl/>
        <w:adjustRightInd w:val="0"/>
        <w:snapToGrid w:val="0"/>
        <w:spacing w:line="276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报名截止后，将在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8"/>
          <w:szCs w:val="28"/>
        </w:rPr>
        <w:t>月下旬举办线上赛项说明会</w:t>
      </w:r>
      <w:r>
        <w:rPr>
          <w:rFonts w:hint="eastAsia" w:ascii="宋体" w:hAnsi="宋体" w:eastAsia="宋体" w:cs="宋体"/>
          <w:sz w:val="28"/>
          <w:szCs w:val="28"/>
        </w:rPr>
        <w:t>，具体时间会在比赛群内发布公告，请参赛人员务必加入比赛群，方便答疑及通知公告。其它未尽事宜会通过群公告方式传达到各位参赛选手。</w:t>
      </w:r>
    </w:p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</w:t>
      </w:r>
      <w:r>
        <w:rPr>
          <w:rFonts w:hint="eastAsia" w:ascii="宋体" w:hAnsi="宋体" w:eastAsia="宋体" w:cs="宋体"/>
          <w:b/>
          <w:sz w:val="24"/>
          <w:szCs w:val="24"/>
        </w:rPr>
        <w:t>《报名表》</w:t>
      </w:r>
    </w:p>
    <w:p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2023年第十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30"/>
          <w:szCs w:val="30"/>
        </w:rPr>
        <w:t>届上海市“中华杯”职业技能竞赛报名表</w:t>
      </w:r>
    </w:p>
    <w:tbl>
      <w:tblPr>
        <w:tblStyle w:val="16"/>
        <w:tblW w:w="8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29"/>
        <w:gridCol w:w="747"/>
        <w:gridCol w:w="769"/>
        <w:gridCol w:w="851"/>
        <w:gridCol w:w="1074"/>
        <w:gridCol w:w="1031"/>
        <w:gridCol w:w="1154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widowControl/>
              <w:ind w:left="2" w:leftChars="-5" w:hanging="12" w:hangingChars="6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序号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姓名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性别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学历</w:t>
            </w:r>
          </w:p>
        </w:tc>
        <w:tc>
          <w:tcPr>
            <w:tcW w:w="107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选手手机</w:t>
            </w:r>
          </w:p>
        </w:tc>
        <w:tc>
          <w:tcPr>
            <w:tcW w:w="115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选手所在单位全称</w:t>
            </w:r>
          </w:p>
        </w:tc>
        <w:tc>
          <w:tcPr>
            <w:tcW w:w="11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职教分社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注：报名表请发送至310280148@qq.com</w:t>
      </w:r>
    </w:p>
    <w:p>
      <w:pPr>
        <w:widowControl/>
        <w:adjustRightInd w:val="0"/>
        <w:snapToGrid w:val="0"/>
        <w:spacing w:line="276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7826961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10378E"/>
    <w:multiLevelType w:val="multilevel"/>
    <w:tmpl w:val="2B10378E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112069"/>
    <w:rsid w:val="000105FB"/>
    <w:rsid w:val="00012DF0"/>
    <w:rsid w:val="00015F77"/>
    <w:rsid w:val="0001730B"/>
    <w:rsid w:val="0002342F"/>
    <w:rsid w:val="000242D5"/>
    <w:rsid w:val="00024FE7"/>
    <w:rsid w:val="00027DC0"/>
    <w:rsid w:val="0003420F"/>
    <w:rsid w:val="00036FD2"/>
    <w:rsid w:val="000437E8"/>
    <w:rsid w:val="00047E13"/>
    <w:rsid w:val="000573B4"/>
    <w:rsid w:val="00060DC7"/>
    <w:rsid w:val="000625B6"/>
    <w:rsid w:val="00067A6B"/>
    <w:rsid w:val="00071F05"/>
    <w:rsid w:val="00073D36"/>
    <w:rsid w:val="00080F2C"/>
    <w:rsid w:val="00082387"/>
    <w:rsid w:val="0008617F"/>
    <w:rsid w:val="00090B25"/>
    <w:rsid w:val="000914BD"/>
    <w:rsid w:val="00091A86"/>
    <w:rsid w:val="00091DA0"/>
    <w:rsid w:val="00094D85"/>
    <w:rsid w:val="000A1E59"/>
    <w:rsid w:val="000A409A"/>
    <w:rsid w:val="000E212D"/>
    <w:rsid w:val="000E223F"/>
    <w:rsid w:val="000E5AD2"/>
    <w:rsid w:val="000E5D67"/>
    <w:rsid w:val="000E63BA"/>
    <w:rsid w:val="000E6614"/>
    <w:rsid w:val="000F3722"/>
    <w:rsid w:val="000F5628"/>
    <w:rsid w:val="000F6211"/>
    <w:rsid w:val="0010189B"/>
    <w:rsid w:val="0010297F"/>
    <w:rsid w:val="00112069"/>
    <w:rsid w:val="001125BF"/>
    <w:rsid w:val="001169AE"/>
    <w:rsid w:val="0012399E"/>
    <w:rsid w:val="00124D9A"/>
    <w:rsid w:val="00133095"/>
    <w:rsid w:val="00134FA3"/>
    <w:rsid w:val="00135882"/>
    <w:rsid w:val="00144E81"/>
    <w:rsid w:val="00151CA9"/>
    <w:rsid w:val="00155516"/>
    <w:rsid w:val="00162AAC"/>
    <w:rsid w:val="001639FE"/>
    <w:rsid w:val="00172F08"/>
    <w:rsid w:val="00173D67"/>
    <w:rsid w:val="00194213"/>
    <w:rsid w:val="00194862"/>
    <w:rsid w:val="001A4220"/>
    <w:rsid w:val="001A5B46"/>
    <w:rsid w:val="001A6F70"/>
    <w:rsid w:val="001A7FFC"/>
    <w:rsid w:val="001B0DF7"/>
    <w:rsid w:val="001B1943"/>
    <w:rsid w:val="001B48E7"/>
    <w:rsid w:val="001C2602"/>
    <w:rsid w:val="001C5383"/>
    <w:rsid w:val="001C7151"/>
    <w:rsid w:val="001D09CD"/>
    <w:rsid w:val="001D52A4"/>
    <w:rsid w:val="001D767F"/>
    <w:rsid w:val="001E61F7"/>
    <w:rsid w:val="001F23C7"/>
    <w:rsid w:val="0020306B"/>
    <w:rsid w:val="00206071"/>
    <w:rsid w:val="0021145D"/>
    <w:rsid w:val="00220BF2"/>
    <w:rsid w:val="00221860"/>
    <w:rsid w:val="00233C97"/>
    <w:rsid w:val="002423D3"/>
    <w:rsid w:val="0024329E"/>
    <w:rsid w:val="0024400C"/>
    <w:rsid w:val="00255DF0"/>
    <w:rsid w:val="002561D2"/>
    <w:rsid w:val="002779EE"/>
    <w:rsid w:val="00297816"/>
    <w:rsid w:val="002A4477"/>
    <w:rsid w:val="002A58FB"/>
    <w:rsid w:val="002A6DCF"/>
    <w:rsid w:val="002B3B8A"/>
    <w:rsid w:val="002C0D1D"/>
    <w:rsid w:val="002D2AAF"/>
    <w:rsid w:val="002D588D"/>
    <w:rsid w:val="002D7739"/>
    <w:rsid w:val="002E3C36"/>
    <w:rsid w:val="002E6165"/>
    <w:rsid w:val="002F3DB0"/>
    <w:rsid w:val="002F480B"/>
    <w:rsid w:val="002F602B"/>
    <w:rsid w:val="002F6513"/>
    <w:rsid w:val="003009CA"/>
    <w:rsid w:val="00303AE4"/>
    <w:rsid w:val="00306E23"/>
    <w:rsid w:val="003127FA"/>
    <w:rsid w:val="00313430"/>
    <w:rsid w:val="003165EE"/>
    <w:rsid w:val="00331162"/>
    <w:rsid w:val="00331C7E"/>
    <w:rsid w:val="00333994"/>
    <w:rsid w:val="00335C7F"/>
    <w:rsid w:val="00342395"/>
    <w:rsid w:val="00346768"/>
    <w:rsid w:val="00355C7B"/>
    <w:rsid w:val="00365952"/>
    <w:rsid w:val="00370E65"/>
    <w:rsid w:val="003827EA"/>
    <w:rsid w:val="00384684"/>
    <w:rsid w:val="00386444"/>
    <w:rsid w:val="003951F3"/>
    <w:rsid w:val="003A0B0D"/>
    <w:rsid w:val="003A1420"/>
    <w:rsid w:val="003A5BE3"/>
    <w:rsid w:val="003B08A1"/>
    <w:rsid w:val="003B14FF"/>
    <w:rsid w:val="003B4C97"/>
    <w:rsid w:val="003C2D06"/>
    <w:rsid w:val="003C3042"/>
    <w:rsid w:val="003C34EA"/>
    <w:rsid w:val="003C3DBB"/>
    <w:rsid w:val="003C4B3F"/>
    <w:rsid w:val="003C5789"/>
    <w:rsid w:val="003D190D"/>
    <w:rsid w:val="003D5AA5"/>
    <w:rsid w:val="003E39C3"/>
    <w:rsid w:val="003E61EB"/>
    <w:rsid w:val="003E62B9"/>
    <w:rsid w:val="003F0FB8"/>
    <w:rsid w:val="003F1F00"/>
    <w:rsid w:val="003F21B9"/>
    <w:rsid w:val="003F3596"/>
    <w:rsid w:val="003F6316"/>
    <w:rsid w:val="003F7A05"/>
    <w:rsid w:val="00404B1F"/>
    <w:rsid w:val="00415BA0"/>
    <w:rsid w:val="00417BE2"/>
    <w:rsid w:val="004240B2"/>
    <w:rsid w:val="0043327B"/>
    <w:rsid w:val="00446991"/>
    <w:rsid w:val="004475C6"/>
    <w:rsid w:val="00450C75"/>
    <w:rsid w:val="004542A1"/>
    <w:rsid w:val="004554B2"/>
    <w:rsid w:val="004569FD"/>
    <w:rsid w:val="0046638D"/>
    <w:rsid w:val="00467097"/>
    <w:rsid w:val="00467107"/>
    <w:rsid w:val="00470433"/>
    <w:rsid w:val="0047330F"/>
    <w:rsid w:val="00483CF4"/>
    <w:rsid w:val="00491F5C"/>
    <w:rsid w:val="00492BA5"/>
    <w:rsid w:val="0049426D"/>
    <w:rsid w:val="00497E18"/>
    <w:rsid w:val="004B1179"/>
    <w:rsid w:val="004B6E14"/>
    <w:rsid w:val="004C1524"/>
    <w:rsid w:val="004C26CB"/>
    <w:rsid w:val="004C3DB7"/>
    <w:rsid w:val="004C46B2"/>
    <w:rsid w:val="004D03DB"/>
    <w:rsid w:val="004D1888"/>
    <w:rsid w:val="004D55BE"/>
    <w:rsid w:val="004D62B3"/>
    <w:rsid w:val="004D66D3"/>
    <w:rsid w:val="004E4862"/>
    <w:rsid w:val="004F091B"/>
    <w:rsid w:val="004F2496"/>
    <w:rsid w:val="004F2FFE"/>
    <w:rsid w:val="00510FE0"/>
    <w:rsid w:val="00512B4A"/>
    <w:rsid w:val="005133D4"/>
    <w:rsid w:val="00515504"/>
    <w:rsid w:val="005306BA"/>
    <w:rsid w:val="0053096A"/>
    <w:rsid w:val="00532DBA"/>
    <w:rsid w:val="00541DA9"/>
    <w:rsid w:val="00550AFF"/>
    <w:rsid w:val="0055284C"/>
    <w:rsid w:val="00562D4D"/>
    <w:rsid w:val="005678C2"/>
    <w:rsid w:val="00581162"/>
    <w:rsid w:val="0058402B"/>
    <w:rsid w:val="0058431D"/>
    <w:rsid w:val="0058690F"/>
    <w:rsid w:val="00597525"/>
    <w:rsid w:val="005A0663"/>
    <w:rsid w:val="005A6250"/>
    <w:rsid w:val="005B62DD"/>
    <w:rsid w:val="005C2A19"/>
    <w:rsid w:val="005C312E"/>
    <w:rsid w:val="005C3EFF"/>
    <w:rsid w:val="005C51F2"/>
    <w:rsid w:val="005C75C9"/>
    <w:rsid w:val="005D06C5"/>
    <w:rsid w:val="005D2B93"/>
    <w:rsid w:val="005D53AE"/>
    <w:rsid w:val="005E0B51"/>
    <w:rsid w:val="005E4AE6"/>
    <w:rsid w:val="005E6CC2"/>
    <w:rsid w:val="005E71C9"/>
    <w:rsid w:val="005F1B8C"/>
    <w:rsid w:val="005F324C"/>
    <w:rsid w:val="005F3343"/>
    <w:rsid w:val="005F7388"/>
    <w:rsid w:val="006056CA"/>
    <w:rsid w:val="00607BB7"/>
    <w:rsid w:val="00607E12"/>
    <w:rsid w:val="00615F6E"/>
    <w:rsid w:val="00630BF0"/>
    <w:rsid w:val="00642236"/>
    <w:rsid w:val="006624BB"/>
    <w:rsid w:val="006739A2"/>
    <w:rsid w:val="00673A7E"/>
    <w:rsid w:val="00674BFC"/>
    <w:rsid w:val="0067687D"/>
    <w:rsid w:val="00680BAA"/>
    <w:rsid w:val="006837BE"/>
    <w:rsid w:val="00690D42"/>
    <w:rsid w:val="006A0990"/>
    <w:rsid w:val="006A339A"/>
    <w:rsid w:val="006A720B"/>
    <w:rsid w:val="006B1161"/>
    <w:rsid w:val="006B4CF8"/>
    <w:rsid w:val="006B7F03"/>
    <w:rsid w:val="006C05DC"/>
    <w:rsid w:val="006C47EA"/>
    <w:rsid w:val="006C6013"/>
    <w:rsid w:val="006D1CCF"/>
    <w:rsid w:val="006D2A34"/>
    <w:rsid w:val="006D36F2"/>
    <w:rsid w:val="006D4092"/>
    <w:rsid w:val="006D79C1"/>
    <w:rsid w:val="006E2055"/>
    <w:rsid w:val="006E3016"/>
    <w:rsid w:val="006F3015"/>
    <w:rsid w:val="006F5983"/>
    <w:rsid w:val="006F6F9B"/>
    <w:rsid w:val="00701421"/>
    <w:rsid w:val="007105DF"/>
    <w:rsid w:val="0071127E"/>
    <w:rsid w:val="007159E8"/>
    <w:rsid w:val="007162E6"/>
    <w:rsid w:val="00721676"/>
    <w:rsid w:val="0072179D"/>
    <w:rsid w:val="00722189"/>
    <w:rsid w:val="00730866"/>
    <w:rsid w:val="007337C5"/>
    <w:rsid w:val="00737E93"/>
    <w:rsid w:val="00740E6C"/>
    <w:rsid w:val="007424D6"/>
    <w:rsid w:val="0074454F"/>
    <w:rsid w:val="007459F6"/>
    <w:rsid w:val="007508B4"/>
    <w:rsid w:val="00757F98"/>
    <w:rsid w:val="00765383"/>
    <w:rsid w:val="0076623A"/>
    <w:rsid w:val="007672C6"/>
    <w:rsid w:val="007755C8"/>
    <w:rsid w:val="0077698A"/>
    <w:rsid w:val="00777EA9"/>
    <w:rsid w:val="00780C80"/>
    <w:rsid w:val="007863DF"/>
    <w:rsid w:val="00786C55"/>
    <w:rsid w:val="007877E3"/>
    <w:rsid w:val="00791191"/>
    <w:rsid w:val="007912B6"/>
    <w:rsid w:val="00795B57"/>
    <w:rsid w:val="007A51C5"/>
    <w:rsid w:val="007A549C"/>
    <w:rsid w:val="007A6E79"/>
    <w:rsid w:val="007A74CA"/>
    <w:rsid w:val="007B1A2F"/>
    <w:rsid w:val="007B329C"/>
    <w:rsid w:val="007B611D"/>
    <w:rsid w:val="007C7097"/>
    <w:rsid w:val="007D3C08"/>
    <w:rsid w:val="007E0576"/>
    <w:rsid w:val="007E5D82"/>
    <w:rsid w:val="007E69D0"/>
    <w:rsid w:val="007F7AE8"/>
    <w:rsid w:val="007F7B9B"/>
    <w:rsid w:val="0080208F"/>
    <w:rsid w:val="008108DA"/>
    <w:rsid w:val="00810A9D"/>
    <w:rsid w:val="00810BF6"/>
    <w:rsid w:val="00814E5C"/>
    <w:rsid w:val="00827954"/>
    <w:rsid w:val="0083314C"/>
    <w:rsid w:val="00834896"/>
    <w:rsid w:val="0084275A"/>
    <w:rsid w:val="00845ECB"/>
    <w:rsid w:val="0085250E"/>
    <w:rsid w:val="00873501"/>
    <w:rsid w:val="0088127F"/>
    <w:rsid w:val="00881612"/>
    <w:rsid w:val="008823EE"/>
    <w:rsid w:val="00894CBC"/>
    <w:rsid w:val="008952E7"/>
    <w:rsid w:val="00895F9C"/>
    <w:rsid w:val="008A071D"/>
    <w:rsid w:val="008A5898"/>
    <w:rsid w:val="008C2229"/>
    <w:rsid w:val="008D2A75"/>
    <w:rsid w:val="008D53A7"/>
    <w:rsid w:val="008E18D9"/>
    <w:rsid w:val="008E37CA"/>
    <w:rsid w:val="008F0BEF"/>
    <w:rsid w:val="008F18F5"/>
    <w:rsid w:val="008F3D2E"/>
    <w:rsid w:val="009026C2"/>
    <w:rsid w:val="0091039B"/>
    <w:rsid w:val="00913ED2"/>
    <w:rsid w:val="00914BE7"/>
    <w:rsid w:val="00916423"/>
    <w:rsid w:val="00917D61"/>
    <w:rsid w:val="009265C8"/>
    <w:rsid w:val="00935949"/>
    <w:rsid w:val="00941CC6"/>
    <w:rsid w:val="009448B9"/>
    <w:rsid w:val="00953EBA"/>
    <w:rsid w:val="0096532C"/>
    <w:rsid w:val="00965DBA"/>
    <w:rsid w:val="00970ED2"/>
    <w:rsid w:val="009752A0"/>
    <w:rsid w:val="009776BD"/>
    <w:rsid w:val="009800C9"/>
    <w:rsid w:val="00981D8D"/>
    <w:rsid w:val="00983B72"/>
    <w:rsid w:val="00987C2E"/>
    <w:rsid w:val="00987D41"/>
    <w:rsid w:val="009A61C5"/>
    <w:rsid w:val="009A7240"/>
    <w:rsid w:val="009A7C3E"/>
    <w:rsid w:val="009B097B"/>
    <w:rsid w:val="009B588F"/>
    <w:rsid w:val="009B61AC"/>
    <w:rsid w:val="009C2BF7"/>
    <w:rsid w:val="009C6094"/>
    <w:rsid w:val="009C7560"/>
    <w:rsid w:val="009F08E2"/>
    <w:rsid w:val="009F4CB3"/>
    <w:rsid w:val="009F5459"/>
    <w:rsid w:val="009F759B"/>
    <w:rsid w:val="00A01FEB"/>
    <w:rsid w:val="00A051B8"/>
    <w:rsid w:val="00A06A97"/>
    <w:rsid w:val="00A06E85"/>
    <w:rsid w:val="00A07380"/>
    <w:rsid w:val="00A10C07"/>
    <w:rsid w:val="00A12D41"/>
    <w:rsid w:val="00A20DB4"/>
    <w:rsid w:val="00A21EA6"/>
    <w:rsid w:val="00A2307B"/>
    <w:rsid w:val="00A278DC"/>
    <w:rsid w:val="00A34D91"/>
    <w:rsid w:val="00A4293F"/>
    <w:rsid w:val="00A43FA0"/>
    <w:rsid w:val="00A44A64"/>
    <w:rsid w:val="00A56F50"/>
    <w:rsid w:val="00A657FF"/>
    <w:rsid w:val="00A70D17"/>
    <w:rsid w:val="00A72C22"/>
    <w:rsid w:val="00A90BA6"/>
    <w:rsid w:val="00AA0F94"/>
    <w:rsid w:val="00AA535D"/>
    <w:rsid w:val="00AA6D5D"/>
    <w:rsid w:val="00AB247E"/>
    <w:rsid w:val="00AB715B"/>
    <w:rsid w:val="00AC0117"/>
    <w:rsid w:val="00AC580A"/>
    <w:rsid w:val="00AD04FA"/>
    <w:rsid w:val="00AE34E8"/>
    <w:rsid w:val="00AF1139"/>
    <w:rsid w:val="00AF3ACE"/>
    <w:rsid w:val="00AF40FF"/>
    <w:rsid w:val="00B0219C"/>
    <w:rsid w:val="00B02C01"/>
    <w:rsid w:val="00B03844"/>
    <w:rsid w:val="00B141AD"/>
    <w:rsid w:val="00B21E86"/>
    <w:rsid w:val="00B250D5"/>
    <w:rsid w:val="00B27A34"/>
    <w:rsid w:val="00B31542"/>
    <w:rsid w:val="00B330C7"/>
    <w:rsid w:val="00B45E0D"/>
    <w:rsid w:val="00B46856"/>
    <w:rsid w:val="00B46E08"/>
    <w:rsid w:val="00B54A8F"/>
    <w:rsid w:val="00B64A10"/>
    <w:rsid w:val="00B67375"/>
    <w:rsid w:val="00B75BA1"/>
    <w:rsid w:val="00B95C45"/>
    <w:rsid w:val="00BB3D1D"/>
    <w:rsid w:val="00BD063A"/>
    <w:rsid w:val="00BD102C"/>
    <w:rsid w:val="00BE2885"/>
    <w:rsid w:val="00BE5202"/>
    <w:rsid w:val="00BE6513"/>
    <w:rsid w:val="00BE744F"/>
    <w:rsid w:val="00BE7D8F"/>
    <w:rsid w:val="00BF5290"/>
    <w:rsid w:val="00BF7358"/>
    <w:rsid w:val="00C014DB"/>
    <w:rsid w:val="00C048BB"/>
    <w:rsid w:val="00C07389"/>
    <w:rsid w:val="00C141A4"/>
    <w:rsid w:val="00C20380"/>
    <w:rsid w:val="00C21A56"/>
    <w:rsid w:val="00C21CB8"/>
    <w:rsid w:val="00C226CF"/>
    <w:rsid w:val="00C25608"/>
    <w:rsid w:val="00C27C86"/>
    <w:rsid w:val="00C27CE6"/>
    <w:rsid w:val="00C40A06"/>
    <w:rsid w:val="00C60174"/>
    <w:rsid w:val="00C63BAC"/>
    <w:rsid w:val="00C66DBD"/>
    <w:rsid w:val="00C7217D"/>
    <w:rsid w:val="00C83FC6"/>
    <w:rsid w:val="00C86F89"/>
    <w:rsid w:val="00C969CF"/>
    <w:rsid w:val="00CC353D"/>
    <w:rsid w:val="00CD3DF9"/>
    <w:rsid w:val="00CD3F47"/>
    <w:rsid w:val="00CD5C00"/>
    <w:rsid w:val="00CE0A79"/>
    <w:rsid w:val="00CE1045"/>
    <w:rsid w:val="00CE4C17"/>
    <w:rsid w:val="00CF2052"/>
    <w:rsid w:val="00CF48BC"/>
    <w:rsid w:val="00D00945"/>
    <w:rsid w:val="00D01C61"/>
    <w:rsid w:val="00D1082F"/>
    <w:rsid w:val="00D124A7"/>
    <w:rsid w:val="00D15737"/>
    <w:rsid w:val="00D17482"/>
    <w:rsid w:val="00D20FC9"/>
    <w:rsid w:val="00D22FBA"/>
    <w:rsid w:val="00D258D7"/>
    <w:rsid w:val="00D3246B"/>
    <w:rsid w:val="00D354B4"/>
    <w:rsid w:val="00D367F7"/>
    <w:rsid w:val="00D371DF"/>
    <w:rsid w:val="00D43718"/>
    <w:rsid w:val="00D476BE"/>
    <w:rsid w:val="00D515DC"/>
    <w:rsid w:val="00D56CD1"/>
    <w:rsid w:val="00D616A5"/>
    <w:rsid w:val="00D641AC"/>
    <w:rsid w:val="00D67AC6"/>
    <w:rsid w:val="00D70E3E"/>
    <w:rsid w:val="00D766A8"/>
    <w:rsid w:val="00D8509A"/>
    <w:rsid w:val="00D87BC0"/>
    <w:rsid w:val="00D91F98"/>
    <w:rsid w:val="00D94FB1"/>
    <w:rsid w:val="00D964A5"/>
    <w:rsid w:val="00DA0499"/>
    <w:rsid w:val="00DA36FB"/>
    <w:rsid w:val="00DB3E28"/>
    <w:rsid w:val="00DB482D"/>
    <w:rsid w:val="00DB62B3"/>
    <w:rsid w:val="00DC1A07"/>
    <w:rsid w:val="00DC553E"/>
    <w:rsid w:val="00DC6329"/>
    <w:rsid w:val="00DC7F6F"/>
    <w:rsid w:val="00DD578E"/>
    <w:rsid w:val="00DF5EBE"/>
    <w:rsid w:val="00DF78CD"/>
    <w:rsid w:val="00E03DEB"/>
    <w:rsid w:val="00E067CB"/>
    <w:rsid w:val="00E11CB6"/>
    <w:rsid w:val="00E23D01"/>
    <w:rsid w:val="00E25C05"/>
    <w:rsid w:val="00E27B2B"/>
    <w:rsid w:val="00E31699"/>
    <w:rsid w:val="00E3509B"/>
    <w:rsid w:val="00E356A4"/>
    <w:rsid w:val="00E42C34"/>
    <w:rsid w:val="00E43528"/>
    <w:rsid w:val="00E5686D"/>
    <w:rsid w:val="00E611D1"/>
    <w:rsid w:val="00E61D5C"/>
    <w:rsid w:val="00E674A7"/>
    <w:rsid w:val="00E76858"/>
    <w:rsid w:val="00E778D9"/>
    <w:rsid w:val="00E8065E"/>
    <w:rsid w:val="00E828F5"/>
    <w:rsid w:val="00E82D6D"/>
    <w:rsid w:val="00E97D53"/>
    <w:rsid w:val="00EA50A8"/>
    <w:rsid w:val="00EB2DFF"/>
    <w:rsid w:val="00EC19D7"/>
    <w:rsid w:val="00EC3721"/>
    <w:rsid w:val="00ED2574"/>
    <w:rsid w:val="00EE4A85"/>
    <w:rsid w:val="00EF3711"/>
    <w:rsid w:val="00F03F35"/>
    <w:rsid w:val="00F05C36"/>
    <w:rsid w:val="00F06592"/>
    <w:rsid w:val="00F21054"/>
    <w:rsid w:val="00F30303"/>
    <w:rsid w:val="00F32312"/>
    <w:rsid w:val="00F355E9"/>
    <w:rsid w:val="00F45CA4"/>
    <w:rsid w:val="00F45F11"/>
    <w:rsid w:val="00F55481"/>
    <w:rsid w:val="00F64615"/>
    <w:rsid w:val="00F64E8F"/>
    <w:rsid w:val="00F6595C"/>
    <w:rsid w:val="00F67CB5"/>
    <w:rsid w:val="00F80287"/>
    <w:rsid w:val="00F82B70"/>
    <w:rsid w:val="00F82EB2"/>
    <w:rsid w:val="00F86A1A"/>
    <w:rsid w:val="00F917AD"/>
    <w:rsid w:val="00F92A18"/>
    <w:rsid w:val="00F92FF1"/>
    <w:rsid w:val="00FB4058"/>
    <w:rsid w:val="00FB7076"/>
    <w:rsid w:val="00FC20B9"/>
    <w:rsid w:val="00FC2AB0"/>
    <w:rsid w:val="00FC2C20"/>
    <w:rsid w:val="00FD0D9A"/>
    <w:rsid w:val="00FE561B"/>
    <w:rsid w:val="00FF0AB0"/>
    <w:rsid w:val="00FF15B7"/>
    <w:rsid w:val="00FF1CFE"/>
    <w:rsid w:val="00FF3139"/>
    <w:rsid w:val="020D0F61"/>
    <w:rsid w:val="106873AD"/>
    <w:rsid w:val="24B46AFA"/>
    <w:rsid w:val="25754019"/>
    <w:rsid w:val="2CDD05EA"/>
    <w:rsid w:val="3DAE01D0"/>
    <w:rsid w:val="49DF32C5"/>
    <w:rsid w:val="531A6B0A"/>
    <w:rsid w:val="53B792D1"/>
    <w:rsid w:val="59AE05A7"/>
    <w:rsid w:val="5FCC4EEB"/>
    <w:rsid w:val="61A65521"/>
    <w:rsid w:val="65456888"/>
    <w:rsid w:val="67185FD7"/>
    <w:rsid w:val="69AB6187"/>
    <w:rsid w:val="6FAE03F1"/>
    <w:rsid w:val="714D0F73"/>
    <w:rsid w:val="715C3587"/>
    <w:rsid w:val="74AF6E50"/>
    <w:rsid w:val="7BDD8365"/>
    <w:rsid w:val="7D37C206"/>
    <w:rsid w:val="7F8F4B6F"/>
    <w:rsid w:val="7FEF6446"/>
    <w:rsid w:val="9FF78010"/>
    <w:rsid w:val="A5FFF3C7"/>
    <w:rsid w:val="BCBFF690"/>
    <w:rsid w:val="EEBD04F2"/>
    <w:rsid w:val="F8FF5B9A"/>
    <w:rsid w:val="FA69E9DD"/>
    <w:rsid w:val="FBFFE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120" w:after="12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24"/>
    <w:unhideWhenUsed/>
    <w:qFormat/>
    <w:uiPriority w:val="99"/>
    <w:pPr>
      <w:keepNext/>
      <w:keepLines/>
      <w:spacing w:before="120" w:after="120"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61"/>
      <w:ind w:left="1020"/>
    </w:pPr>
    <w:rPr>
      <w:sz w:val="24"/>
      <w:szCs w:val="24"/>
    </w:rPr>
  </w:style>
  <w:style w:type="paragraph" w:styleId="5">
    <w:name w:val="annotation text"/>
    <w:basedOn w:val="1"/>
    <w:link w:val="33"/>
    <w:semiHidden/>
    <w:unhideWhenUsed/>
    <w:qFormat/>
    <w:uiPriority w:val="99"/>
    <w:pPr>
      <w:jc w:val="left"/>
    </w:pPr>
  </w:style>
  <w:style w:type="paragraph" w:styleId="6">
    <w:name w:val="Plain Text"/>
    <w:basedOn w:val="1"/>
    <w:link w:val="27"/>
    <w:qFormat/>
    <w:uiPriority w:val="0"/>
    <w:rPr>
      <w:rFonts w:ascii="宋体" w:hAnsi="Courier New"/>
    </w:rPr>
  </w:style>
  <w:style w:type="paragraph" w:styleId="7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39"/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annotation subject"/>
    <w:basedOn w:val="5"/>
    <w:next w:val="5"/>
    <w:link w:val="34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paragraph" w:customStyle="1" w:styleId="20">
    <w:name w:val="6'"/>
    <w:basedOn w:val="1"/>
    <w:qFormat/>
    <w:uiPriority w:val="0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</w:rPr>
  </w:style>
  <w:style w:type="paragraph" w:customStyle="1" w:styleId="21">
    <w:name w:val="样式 列表 + 两端对齐"/>
    <w:basedOn w:val="12"/>
    <w:qFormat/>
    <w:uiPriority w:val="0"/>
    <w:pPr>
      <w:spacing w:line="360" w:lineRule="auto"/>
      <w:ind w:left="2040" w:right="-1" w:hanging="2040" w:hangingChars="850"/>
      <w:jc w:val="left"/>
    </w:pPr>
    <w:rPr>
      <w:rFonts w:cs="宋体"/>
      <w:kern w:val="0"/>
      <w:sz w:val="24"/>
      <w:szCs w:val="20"/>
    </w:rPr>
  </w:style>
  <w:style w:type="paragraph" w:customStyle="1" w:styleId="22">
    <w:name w:val="样式1"/>
    <w:basedOn w:val="1"/>
    <w:next w:val="1"/>
    <w:qFormat/>
    <w:uiPriority w:val="0"/>
    <w:rPr>
      <w:lang w:val="zh-CN"/>
    </w:rPr>
  </w:style>
  <w:style w:type="character" w:customStyle="1" w:styleId="23">
    <w:name w:val="标题 1 字符"/>
    <w:basedOn w:val="17"/>
    <w:link w:val="3"/>
    <w:qFormat/>
    <w:uiPriority w:val="9"/>
    <w:rPr>
      <w:rFonts w:ascii="Calibri" w:hAnsi="Calibri" w:eastAsia="宋体" w:cs="Times New Roman"/>
      <w:b/>
      <w:bCs/>
      <w:kern w:val="44"/>
      <w:sz w:val="28"/>
      <w:szCs w:val="44"/>
    </w:rPr>
  </w:style>
  <w:style w:type="character" w:customStyle="1" w:styleId="24">
    <w:name w:val="标题 2 字符"/>
    <w:basedOn w:val="17"/>
    <w:link w:val="4"/>
    <w:qFormat/>
    <w:uiPriority w:val="9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页眉 字符"/>
    <w:basedOn w:val="17"/>
    <w:link w:val="10"/>
    <w:qFormat/>
    <w:uiPriority w:val="99"/>
    <w:rPr>
      <w:sz w:val="18"/>
      <w:szCs w:val="18"/>
    </w:rPr>
  </w:style>
  <w:style w:type="character" w:customStyle="1" w:styleId="26">
    <w:name w:val="页脚 字符"/>
    <w:basedOn w:val="17"/>
    <w:link w:val="9"/>
    <w:qFormat/>
    <w:uiPriority w:val="99"/>
    <w:rPr>
      <w:sz w:val="18"/>
      <w:szCs w:val="18"/>
    </w:rPr>
  </w:style>
  <w:style w:type="character" w:customStyle="1" w:styleId="27">
    <w:name w:val="纯文本 字符"/>
    <w:basedOn w:val="17"/>
    <w:link w:val="6"/>
    <w:qFormat/>
    <w:uiPriority w:val="0"/>
    <w:rPr>
      <w:rFonts w:ascii="宋体" w:hAnsi="Courier New"/>
      <w:szCs w:val="21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批注框文本 字符"/>
    <w:basedOn w:val="17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0">
    <w:name w:val="font3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1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2">
    <w:name w:val="font1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3">
    <w:name w:val="批注文字 字符"/>
    <w:basedOn w:val="17"/>
    <w:link w:val="5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34">
    <w:name w:val="批注主题 字符"/>
    <w:basedOn w:val="33"/>
    <w:link w:val="14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35">
    <w:name w:val="日期 字符"/>
    <w:basedOn w:val="17"/>
    <w:link w:val="7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paragraph" w:customStyle="1" w:styleId="36">
    <w:name w:val="图表"/>
    <w:link w:val="37"/>
    <w:qFormat/>
    <w:uiPriority w:val="0"/>
    <w:pPr>
      <w:jc w:val="center"/>
    </w:pPr>
    <w:rPr>
      <w:rFonts w:cs="宋体" w:asciiTheme="minorEastAsia" w:hAnsiTheme="minorEastAsia" w:eastAsiaTheme="minorEastAsia"/>
      <w:color w:val="000000" w:themeColor="text1"/>
      <w:kern w:val="2"/>
      <w:sz w:val="18"/>
      <w:szCs w:val="18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37">
    <w:name w:val="图表 Char"/>
    <w:basedOn w:val="17"/>
    <w:link w:val="36"/>
    <w:qFormat/>
    <w:uiPriority w:val="0"/>
    <w:rPr>
      <w:rFonts w:cs="宋体" w:asciiTheme="minorEastAsia" w:hAnsi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paragraph" w:customStyle="1" w:styleId="38">
    <w:name w:val="TOC Heading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customStyle="1" w:styleId="39">
    <w:name w:val="Table Paragraph"/>
    <w:basedOn w:val="1"/>
    <w:qFormat/>
    <w:uiPriority w:val="1"/>
    <w:pPr>
      <w:spacing w:before="42"/>
    </w:pPr>
  </w:style>
  <w:style w:type="table" w:customStyle="1" w:styleId="4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5626</Words>
  <Characters>5974</Characters>
  <Lines>31</Lines>
  <Paragraphs>8</Paragraphs>
  <TotalTime>3</TotalTime>
  <ScaleCrop>false</ScaleCrop>
  <LinksUpToDate>false</LinksUpToDate>
  <CharactersWithSpaces>5992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2019-04-29T14:23:00Z</dcterms:created>
  <dc:creator>Mr.Qu</dc:creator>
  <cp:lastModifiedBy>朱松杰</cp:lastModifiedBy>
  <cp:lastPrinted>2019-04-29T14:25:00Z</cp:lastPrinted>
  <dcterms:modified xsi:type="dcterms:W3CDTF">2023-09-20T02:38:31Z</dcterms:modified>
  <cp:revision>531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87A1C3EB72BB2A156EBC97649FA24C33</vt:lpwstr>
  </property>
</Properties>
</file>