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181" w:afterLines="50" w:line="500" w:lineRule="exact"/>
        <w:jc w:val="center"/>
        <w:textAlignment w:val="auto"/>
        <w:rPr>
          <w:rFonts w:hint="eastAsia" w:ascii="宋体" w:hAnsi="宋体" w:eastAsia="宋体" w:cs="宋体"/>
          <w:b/>
          <w:kern w:val="0"/>
          <w:sz w:val="28"/>
          <w:szCs w:val="28"/>
        </w:rPr>
      </w:pPr>
      <w:r>
        <w:rPr>
          <w:rFonts w:hint="eastAsia" w:ascii="宋体" w:hAnsi="宋体" w:eastAsia="宋体" w:cs="宋体"/>
          <w:b/>
          <w:kern w:val="0"/>
          <w:sz w:val="28"/>
          <w:szCs w:val="28"/>
        </w:rPr>
        <w:t>第十一届“中华杯”网络安全技能竞赛方案</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一、竞赛目的</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秉承中华职业教育社优良传统，大力弘扬工匠精神，坚持“面向社会、面向青年、面向技能”的竞赛宗旨，通过网络安全技能项目竞赛，为网络安全职业技术技能人才搭建展示技艺的平台，提供切磋交流的载体，营造崇尚技能、匠心筑梦的良好氛围。</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rPr>
        <w:t>二、</w:t>
      </w:r>
      <w:r>
        <w:rPr>
          <w:rFonts w:hint="eastAsia" w:ascii="宋体" w:hAnsi="宋体" w:eastAsia="宋体" w:cs="宋体"/>
          <w:b/>
          <w:bCs/>
          <w:sz w:val="28"/>
          <w:szCs w:val="28"/>
          <w:lang w:val="en-US" w:eastAsia="zh-CN"/>
        </w:rPr>
        <w:t>主办单位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上海中华职业教育社、上海市人力资源和社会保障局、上海市教育委员会</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kern w:val="2"/>
          <w:sz w:val="28"/>
          <w:szCs w:val="28"/>
          <w:lang w:val="en-US" w:eastAsia="zh-CN" w:bidi="ar-SA"/>
        </w:rPr>
        <w:t>三、</w:t>
      </w:r>
      <w:r>
        <w:rPr>
          <w:rFonts w:hint="eastAsia" w:ascii="宋体" w:hAnsi="宋体" w:eastAsia="宋体" w:cs="宋体"/>
          <w:b/>
          <w:bCs/>
          <w:sz w:val="28"/>
          <w:szCs w:val="28"/>
          <w:lang w:val="en-US" w:eastAsia="zh-CN"/>
        </w:rPr>
        <w:t>承办协办单位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承办单位：</w:t>
      </w:r>
      <w:r>
        <w:rPr>
          <w:rFonts w:hint="eastAsia" w:ascii="宋体" w:hAnsi="宋体" w:eastAsia="宋体" w:cs="宋体"/>
          <w:sz w:val="28"/>
          <w:szCs w:val="28"/>
          <w:lang w:val="en-US"/>
        </w:rPr>
        <w:t>黄浦中华职业教育社、</w:t>
      </w:r>
      <w:r>
        <w:rPr>
          <w:rFonts w:hint="eastAsia" w:ascii="宋体" w:hAnsi="宋体" w:eastAsia="宋体" w:cs="宋体"/>
          <w:sz w:val="28"/>
          <w:szCs w:val="28"/>
        </w:rPr>
        <w:t>中华职业学校</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协办单位：中科磐云（北京）科技有限公司</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四</w:t>
      </w:r>
      <w:r>
        <w:rPr>
          <w:rFonts w:hint="eastAsia" w:ascii="宋体" w:hAnsi="宋体" w:eastAsia="宋体" w:cs="宋体"/>
          <w:b/>
          <w:bCs/>
          <w:sz w:val="28"/>
          <w:szCs w:val="28"/>
        </w:rPr>
        <w:t>、竞赛对象</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本市及长三角地区职业院校专业教师（包括实习指导教师）、社会培训机构培训教师</w:t>
      </w:r>
      <w:r>
        <w:rPr>
          <w:rFonts w:hint="eastAsia" w:ascii="宋体" w:hAnsi="宋体" w:eastAsia="宋体" w:cs="宋体"/>
          <w:sz w:val="28"/>
          <w:szCs w:val="28"/>
          <w:lang w:eastAsia="zh-CN"/>
        </w:rPr>
        <w:t>、</w:t>
      </w:r>
      <w:r>
        <w:rPr>
          <w:rFonts w:hint="eastAsia" w:ascii="宋体" w:hAnsi="宋体" w:eastAsia="宋体" w:cs="宋体"/>
          <w:sz w:val="28"/>
          <w:szCs w:val="28"/>
        </w:rPr>
        <w:t>企业培训教师、网络安全行业企业从业人员、网络安全技术爱好者。</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适用院校专业：网络信息安全、信息安全技术应用、信息安全管理与评估、计算机网络技术、计算机应用技术、软件技术、密码技术应用、网络安防系统安装与维护、网站建设与管理、软件与信息服务等。</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、报名办法</w:t>
      </w:r>
    </w:p>
    <w:p>
      <w:pPr>
        <w:keepNext w:val="0"/>
        <w:keepLines w:val="0"/>
        <w:pageBreakBefore w:val="0"/>
        <w:widowControl w:val="0"/>
        <w:shd w:val="clea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rPr>
        <w:t>报名日期：2023 年</w:t>
      </w:r>
      <w:r>
        <w:rPr>
          <w:rFonts w:hint="eastAsia" w:ascii="宋体" w:hAnsi="宋体" w:eastAsia="宋体" w:cs="宋体"/>
          <w:sz w:val="28"/>
          <w:szCs w:val="28"/>
          <w:lang w:val="en" w:eastAsia="zh-CN"/>
        </w:rPr>
        <w:t>10</w:t>
      </w:r>
      <w:r>
        <w:rPr>
          <w:rFonts w:hint="eastAsia" w:ascii="宋体" w:hAnsi="宋体" w:eastAsia="宋体" w:cs="宋体"/>
          <w:sz w:val="28"/>
          <w:szCs w:val="28"/>
        </w:rPr>
        <w:t>月</w:t>
      </w:r>
      <w:r>
        <w:rPr>
          <w:rFonts w:hint="eastAsia" w:ascii="宋体" w:hAnsi="宋体" w:eastAsia="宋体" w:cs="宋体"/>
          <w:sz w:val="28"/>
          <w:szCs w:val="28"/>
          <w:lang w:val="en" w:eastAsia="zh-CN"/>
        </w:rPr>
        <w:t>10</w:t>
      </w:r>
      <w:r>
        <w:rPr>
          <w:rFonts w:hint="eastAsia" w:ascii="宋体" w:hAnsi="宋体" w:eastAsia="宋体" w:cs="宋体"/>
          <w:sz w:val="28"/>
          <w:szCs w:val="28"/>
        </w:rPr>
        <w:t>日</w:t>
      </w:r>
      <w:r>
        <w:rPr>
          <w:rFonts w:hint="eastAsia" w:ascii="宋体" w:hAnsi="宋体" w:eastAsia="宋体" w:cs="宋体"/>
          <w:sz w:val="28"/>
          <w:szCs w:val="28"/>
          <w:lang w:val="en-US" w:eastAsia="zh-CN"/>
        </w:rPr>
        <w:t>前</w:t>
      </w:r>
    </w:p>
    <w:p>
      <w:pPr>
        <w:keepNext w:val="0"/>
        <w:keepLines w:val="0"/>
        <w:pageBreakBefore w:val="0"/>
        <w:widowControl w:val="0"/>
        <w:shd w:val="clea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参赛者填写《2023年第十一届上海市“中华杯”教师职业技能竞赛报名表》</w:t>
      </w:r>
      <w:r>
        <w:rPr>
          <w:rFonts w:hint="eastAsia" w:ascii="宋体" w:hAnsi="宋体" w:eastAsia="宋体" w:cs="宋体"/>
          <w:sz w:val="28"/>
          <w:szCs w:val="28"/>
          <w:lang w:eastAsia="zh-CN"/>
        </w:rPr>
        <w:t>（每个单位限报</w:t>
      </w:r>
      <w:r>
        <w:rPr>
          <w:rFonts w:hint="eastAsia" w:ascii="宋体" w:hAnsi="宋体" w:eastAsia="宋体" w:cs="宋体"/>
          <w:sz w:val="28"/>
          <w:szCs w:val="28"/>
          <w:lang w:val="en-US" w:eastAsia="zh-CN"/>
        </w:rPr>
        <w:t>2名选手</w:t>
      </w:r>
      <w:r>
        <w:rPr>
          <w:rFonts w:hint="eastAsia" w:ascii="宋体" w:hAnsi="宋体" w:eastAsia="宋体" w:cs="宋体"/>
          <w:sz w:val="28"/>
          <w:szCs w:val="28"/>
          <w:lang w:eastAsia="zh-CN"/>
        </w:rPr>
        <w:t>）</w:t>
      </w:r>
      <w:r>
        <w:rPr>
          <w:rFonts w:hint="eastAsia" w:ascii="宋体" w:hAnsi="宋体" w:eastAsia="宋体" w:cs="宋体"/>
          <w:sz w:val="28"/>
          <w:szCs w:val="28"/>
        </w:rPr>
        <w:t>，以电子邮件形式网上报名，发送至指定邮箱：</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报名邮箱地址：2312916554@qq.com</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联系人：王</w:t>
      </w:r>
      <w:r>
        <w:rPr>
          <w:rFonts w:hint="eastAsia" w:ascii="宋体" w:hAnsi="宋体" w:eastAsia="宋体" w:cs="宋体"/>
          <w:sz w:val="28"/>
          <w:szCs w:val="28"/>
          <w:highlight w:val="none"/>
          <w:lang w:val="en-US"/>
        </w:rPr>
        <w:t>老师</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rPr>
        <w:t>联系电话：</w:t>
      </w:r>
      <w:r>
        <w:rPr>
          <w:rFonts w:hint="eastAsia" w:ascii="宋体" w:hAnsi="宋体" w:eastAsia="宋体" w:cs="宋体"/>
          <w:sz w:val="28"/>
          <w:szCs w:val="28"/>
          <w:highlight w:val="none"/>
        </w:rPr>
        <w:t>15000043446</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、参赛规则</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竞赛项目名称：网络安全技能</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lang w:val="en"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rPr>
        <w:t>竞赛形式：个人赛</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rPr>
        <w:t>竞赛时长：3 小时</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四</w:t>
      </w:r>
      <w:r>
        <w:rPr>
          <w:rFonts w:hint="eastAsia" w:ascii="宋体" w:hAnsi="宋体" w:eastAsia="宋体" w:cs="宋体"/>
          <w:sz w:val="28"/>
          <w:szCs w:val="28"/>
          <w:lang w:eastAsia="zh-CN"/>
        </w:rPr>
        <w:t>）</w:t>
      </w:r>
      <w:r>
        <w:rPr>
          <w:rFonts w:hint="eastAsia" w:ascii="宋体" w:hAnsi="宋体" w:eastAsia="宋体" w:cs="宋体"/>
          <w:sz w:val="28"/>
          <w:szCs w:val="28"/>
        </w:rPr>
        <w:t>竞赛说明</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竞赛融入网络与信息安全管理员（三级、四级）职业技能；1+X 网络安全运维（初级/中级）职业技能等级标准。主要考察参赛选手网络系统安全策略部署、信息保护、网络安全运维管理的综合实践能力。参赛人员需掌握较为丰富的网络安全领域相关知识，具备较强的网络安全技能实操能力。</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五</w:t>
      </w:r>
      <w:r>
        <w:rPr>
          <w:rFonts w:hint="eastAsia" w:ascii="宋体" w:hAnsi="宋体" w:eastAsia="宋体" w:cs="宋体"/>
          <w:sz w:val="28"/>
          <w:szCs w:val="28"/>
          <w:lang w:eastAsia="zh-CN"/>
        </w:rPr>
        <w:t>）</w:t>
      </w:r>
      <w:r>
        <w:rPr>
          <w:rFonts w:hint="eastAsia" w:ascii="宋体" w:hAnsi="宋体" w:eastAsia="宋体" w:cs="宋体"/>
          <w:sz w:val="28"/>
          <w:szCs w:val="28"/>
        </w:rPr>
        <w:t>竞赛设备</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比赛器材</w:t>
      </w:r>
    </w:p>
    <w:tbl>
      <w:tblPr>
        <w:tblStyle w:val="5"/>
        <w:tblW w:w="7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42"/>
        <w:gridCol w:w="1418"/>
        <w:gridCol w:w="4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21"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442"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设备名称</w:t>
            </w:r>
          </w:p>
        </w:tc>
        <w:tc>
          <w:tcPr>
            <w:tcW w:w="1418"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数量</w:t>
            </w:r>
          </w:p>
        </w:tc>
        <w:tc>
          <w:tcPr>
            <w:tcW w:w="4306"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设备型号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442"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网络空间安全技能评测平台</w:t>
            </w:r>
          </w:p>
        </w:tc>
        <w:tc>
          <w:tcPr>
            <w:tcW w:w="1418"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 xml:space="preserve">1套/场 </w:t>
            </w:r>
          </w:p>
        </w:tc>
        <w:tc>
          <w:tcPr>
            <w:tcW w:w="4306"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中科磐云系列网络空间安全实战平台PY-B7，标配2个千兆以太口，Intel处理器，大于等于16G 内存，SSD+SATA硬盘。可扩展多种虚拟化平台，支持多用户并发在线比赛，根据不同的实战任务下发进行自动调度靶机虚拟化模板，为学员提供单兵闯关、分组混战等实际对战模式。整个过程全自动评判，自定义动画态势展示，成绩详细分析，多端口监控，全程加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442"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PC机</w:t>
            </w:r>
          </w:p>
        </w:tc>
        <w:tc>
          <w:tcPr>
            <w:tcW w:w="1418"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1台/组</w:t>
            </w:r>
          </w:p>
        </w:tc>
        <w:tc>
          <w:tcPr>
            <w:tcW w:w="4306" w:type="dxa"/>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CPU 主频&gt;=2.8GHZ,&gt;=四核四线程；内存&gt;=8G；硬盘&gt;=500G；支持硬件虚拟化。</w:t>
            </w:r>
          </w:p>
        </w:tc>
      </w:tr>
    </w:tbl>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软件技术平台：</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比赛的应用系统环境主要以Windows和Linux系统为主，涉及如下版本：</w:t>
      </w:r>
    </w:p>
    <w:p>
      <w:pPr>
        <w:pStyle w:val="9"/>
        <w:keepNext w:val="0"/>
        <w:keepLines w:val="0"/>
        <w:pageBreakBefore w:val="0"/>
        <w:widowControl w:val="0"/>
        <w:numPr>
          <w:ilvl w:val="0"/>
          <w:numId w:val="1"/>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物理机安装操作系统：微软 Windows 7(64位)中文试用版或微软 Windows 10(64位)中文试用版。</w:t>
      </w:r>
    </w:p>
    <w:p>
      <w:pPr>
        <w:pStyle w:val="9"/>
        <w:keepNext w:val="0"/>
        <w:keepLines w:val="0"/>
        <w:pageBreakBefore w:val="0"/>
        <w:widowControl w:val="0"/>
        <w:numPr>
          <w:ilvl w:val="0"/>
          <w:numId w:val="1"/>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虚拟机安装操作系统：</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Windows系统（试用版）：Windows XP、Windows 7、Windows 10、Windows Server2003及以上版本（根据命题实际确定）。Linux系统：Ubuntu、Debian、CentOS（具体版本根据命题实际确定）。</w:t>
      </w:r>
    </w:p>
    <w:p>
      <w:pPr>
        <w:pStyle w:val="9"/>
        <w:keepNext w:val="0"/>
        <w:keepLines w:val="0"/>
        <w:pageBreakBefore w:val="0"/>
        <w:widowControl w:val="0"/>
        <w:numPr>
          <w:ilvl w:val="0"/>
          <w:numId w:val="1"/>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其他主要应用软件为: </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VMware workstation 12 pro 及以上版本免费版</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Putty 0.67及以上版本</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Python/Python3及以上版本</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Chrome 浏览器 62.0及以上版本</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RealVNC 客户端 4.6及以上版本</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360压缩 4.0及以上版本</w:t>
      </w:r>
    </w:p>
    <w:p>
      <w:pPr>
        <w:pStyle w:val="9"/>
        <w:keepNext w:val="0"/>
        <w:keepLines w:val="0"/>
        <w:pageBreakBefore w:val="0"/>
        <w:widowControl w:val="0"/>
        <w:kinsoku/>
        <w:wordWrap/>
        <w:overflowPunct/>
        <w:topLinePunct w:val="0"/>
        <w:autoSpaceDE/>
        <w:autoSpaceDN/>
        <w:bidi w:val="0"/>
        <w:adjustRightInd/>
        <w:snapToGrid/>
        <w:spacing w:after="157" w:afterLines="50" w:line="500" w:lineRule="exact"/>
        <w:ind w:left="100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JDK（Java Development Kit）7.0及以上版本</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七</w:t>
      </w:r>
      <w:r>
        <w:rPr>
          <w:rFonts w:hint="eastAsia" w:ascii="宋体" w:hAnsi="宋体" w:eastAsia="宋体" w:cs="宋体"/>
          <w:b/>
          <w:bCs/>
          <w:sz w:val="28"/>
          <w:szCs w:val="28"/>
        </w:rPr>
        <w:t>、竞赛内容</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竞赛考核内容</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参赛选手能够在赛项提供的服务器上配置各种协议和服务，实现网络系统的运行，并根据网络业务需求配置各种安全策略，以满足应用需求。</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参赛选手能够根据赛项要求，实施网络空间安全防护操作。</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参赛选手能够根据网络实际运行中面临的安全威胁，确定安全策略并部署实施，防范并制止网络恶意入侵和攻击行为。</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参赛选手通过分组混合对抗的形式，能够实时防护自己服务器，抵御外界的攻击，同时能够对目标进行渗透测试。</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rPr>
        <w:t>竞赛分值权重和时间安排</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竞赛总时长为3个小时，各竞赛阶段安排如下：</w:t>
      </w:r>
    </w:p>
    <w:tbl>
      <w:tblPr>
        <w:tblStyle w:val="5"/>
        <w:tblW w:w="8296" w:type="dxa"/>
        <w:jc w:val="center"/>
        <w:tblLayout w:type="fixed"/>
        <w:tblCellMar>
          <w:top w:w="0" w:type="dxa"/>
          <w:left w:w="108" w:type="dxa"/>
          <w:bottom w:w="0" w:type="dxa"/>
          <w:right w:w="108" w:type="dxa"/>
        </w:tblCellMar>
      </w:tblPr>
      <w:tblGrid>
        <w:gridCol w:w="2175"/>
        <w:gridCol w:w="2993"/>
        <w:gridCol w:w="1409"/>
        <w:gridCol w:w="1719"/>
      </w:tblGrid>
      <w:tr>
        <w:tblPrEx>
          <w:tblCellMar>
            <w:top w:w="0" w:type="dxa"/>
            <w:left w:w="108" w:type="dxa"/>
            <w:bottom w:w="0" w:type="dxa"/>
            <w:right w:w="108" w:type="dxa"/>
          </w:tblCellMar>
        </w:tblPrEx>
        <w:trPr>
          <w:trHeight w:val="295" w:hRule="atLeast"/>
          <w:jc w:val="center"/>
        </w:trPr>
        <w:tc>
          <w:tcPr>
            <w:tcW w:w="21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2993"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内容模块</w:t>
            </w:r>
          </w:p>
        </w:tc>
        <w:tc>
          <w:tcPr>
            <w:tcW w:w="140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分值权重</w:t>
            </w:r>
          </w:p>
        </w:tc>
        <w:tc>
          <w:tcPr>
            <w:tcW w:w="171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阶段时间</w:t>
            </w:r>
          </w:p>
        </w:tc>
      </w:tr>
      <w:tr>
        <w:tblPrEx>
          <w:tblCellMar>
            <w:top w:w="0" w:type="dxa"/>
            <w:left w:w="108" w:type="dxa"/>
            <w:bottom w:w="0" w:type="dxa"/>
            <w:right w:w="108" w:type="dxa"/>
          </w:tblCellMar>
        </w:tblPrEx>
        <w:trPr>
          <w:trHeight w:val="289" w:hRule="atLeast"/>
          <w:jc w:val="center"/>
        </w:trPr>
        <w:tc>
          <w:tcPr>
            <w:tcW w:w="217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第一阶段</w:t>
            </w:r>
          </w:p>
        </w:tc>
        <w:tc>
          <w:tcPr>
            <w:tcW w:w="299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单兵模式系统渗透测试</w:t>
            </w:r>
          </w:p>
        </w:tc>
        <w:tc>
          <w:tcPr>
            <w:tcW w:w="140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70%</w:t>
            </w:r>
          </w:p>
        </w:tc>
        <w:tc>
          <w:tcPr>
            <w:tcW w:w="171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100分钟</w:t>
            </w:r>
          </w:p>
        </w:tc>
      </w:tr>
      <w:tr>
        <w:trPr>
          <w:trHeight w:val="283" w:hRule="atLeast"/>
          <w:jc w:val="center"/>
        </w:trPr>
        <w:tc>
          <w:tcPr>
            <w:tcW w:w="217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备战阶段</w:t>
            </w:r>
          </w:p>
        </w:tc>
        <w:tc>
          <w:tcPr>
            <w:tcW w:w="299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攻防对抗准备工作</w:t>
            </w:r>
          </w:p>
        </w:tc>
        <w:tc>
          <w:tcPr>
            <w:tcW w:w="140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0%</w:t>
            </w:r>
          </w:p>
        </w:tc>
        <w:tc>
          <w:tcPr>
            <w:tcW w:w="17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20分钟</w:t>
            </w:r>
          </w:p>
        </w:tc>
      </w:tr>
      <w:tr>
        <w:tblPrEx>
          <w:tblCellMar>
            <w:top w:w="0" w:type="dxa"/>
            <w:left w:w="108" w:type="dxa"/>
            <w:bottom w:w="0" w:type="dxa"/>
            <w:right w:w="108" w:type="dxa"/>
          </w:tblCellMar>
        </w:tblPrEx>
        <w:trPr>
          <w:trHeight w:val="291" w:hRule="atLeast"/>
          <w:jc w:val="center"/>
        </w:trPr>
        <w:tc>
          <w:tcPr>
            <w:tcW w:w="2175"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第二阶段</w:t>
            </w:r>
          </w:p>
        </w:tc>
        <w:tc>
          <w:tcPr>
            <w:tcW w:w="299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攻防对抗</w:t>
            </w:r>
          </w:p>
        </w:tc>
        <w:tc>
          <w:tcPr>
            <w:tcW w:w="140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30%</w:t>
            </w:r>
          </w:p>
        </w:tc>
        <w:tc>
          <w:tcPr>
            <w:tcW w:w="171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60分钟</w:t>
            </w:r>
          </w:p>
        </w:tc>
      </w:tr>
    </w:tbl>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rPr>
        <w:t>竞赛主要知识点和技能点</w:t>
      </w:r>
    </w:p>
    <w:tbl>
      <w:tblPr>
        <w:tblStyle w:val="5"/>
        <w:tblW w:w="8296" w:type="dxa"/>
        <w:jc w:val="center"/>
        <w:tblLayout w:type="fixed"/>
        <w:tblCellMar>
          <w:top w:w="0" w:type="dxa"/>
          <w:left w:w="108" w:type="dxa"/>
          <w:bottom w:w="0" w:type="dxa"/>
          <w:right w:w="108" w:type="dxa"/>
        </w:tblCellMar>
      </w:tblPr>
      <w:tblGrid>
        <w:gridCol w:w="1159"/>
        <w:gridCol w:w="1671"/>
        <w:gridCol w:w="1985"/>
        <w:gridCol w:w="3481"/>
      </w:tblGrid>
      <w:tr>
        <w:tblPrEx>
          <w:tblCellMar>
            <w:top w:w="0" w:type="dxa"/>
            <w:left w:w="108" w:type="dxa"/>
            <w:bottom w:w="0" w:type="dxa"/>
            <w:right w:w="108" w:type="dxa"/>
          </w:tblCellMar>
        </w:tblPrEx>
        <w:trPr>
          <w:trHeight w:val="69" w:hRule="atLeast"/>
          <w:jc w:val="center"/>
        </w:trPr>
        <w:tc>
          <w:tcPr>
            <w:tcW w:w="115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671" w:type="dxa"/>
            <w:tcBorders>
              <w:top w:val="single" w:color="auto" w:sz="4" w:space="0"/>
              <w:left w:val="nil"/>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内容模块</w:t>
            </w:r>
          </w:p>
        </w:tc>
        <w:tc>
          <w:tcPr>
            <w:tcW w:w="1985" w:type="dxa"/>
            <w:tcBorders>
              <w:top w:val="single" w:color="auto" w:sz="4" w:space="0"/>
              <w:left w:val="nil"/>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具体内容</w:t>
            </w:r>
          </w:p>
        </w:tc>
        <w:tc>
          <w:tcPr>
            <w:tcW w:w="3481" w:type="dxa"/>
            <w:tcBorders>
              <w:top w:val="single" w:color="auto" w:sz="4" w:space="0"/>
              <w:left w:val="nil"/>
              <w:bottom w:val="single" w:color="auto" w:sz="4" w:space="0"/>
              <w:right w:val="single" w:color="auto" w:sz="4" w:space="0"/>
            </w:tcBorders>
            <w:vAlign w:val="bottom"/>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说明</w:t>
            </w:r>
          </w:p>
        </w:tc>
      </w:tr>
      <w:tr>
        <w:tblPrEx>
          <w:tblCellMar>
            <w:top w:w="0" w:type="dxa"/>
            <w:left w:w="108" w:type="dxa"/>
            <w:bottom w:w="0" w:type="dxa"/>
            <w:right w:w="108" w:type="dxa"/>
          </w:tblCellMar>
        </w:tblPrEx>
        <w:trPr>
          <w:trHeight w:val="515" w:hRule="atLeast"/>
          <w:jc w:val="center"/>
        </w:trPr>
        <w:tc>
          <w:tcPr>
            <w:tcW w:w="1159"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highlight w:val="yellow"/>
              </w:rPr>
            </w:pPr>
            <w:r>
              <w:rPr>
                <w:rFonts w:hint="eastAsia" w:ascii="宋体" w:hAnsi="宋体" w:eastAsia="宋体" w:cs="宋体"/>
                <w:sz w:val="24"/>
                <w:szCs w:val="24"/>
              </w:rPr>
              <w:t>第一阶段</w:t>
            </w:r>
          </w:p>
        </w:tc>
        <w:tc>
          <w:tcPr>
            <w:tcW w:w="1671"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单兵模式系统渗透测试</w:t>
            </w:r>
          </w:p>
        </w:tc>
        <w:tc>
          <w:tcPr>
            <w:tcW w:w="198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密码学和VPN</w:t>
            </w:r>
          </w:p>
        </w:tc>
        <w:tc>
          <w:tcPr>
            <w:tcW w:w="348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密码学、IPSec VPN、IKE：PreShared Key（预共享密钥认证）、IKE：PKI（公钥架构认证）、SSL VPN等。</w:t>
            </w:r>
          </w:p>
        </w:tc>
      </w:tr>
      <w:tr>
        <w:tblPrEx>
          <w:tblCellMar>
            <w:top w:w="0" w:type="dxa"/>
            <w:left w:w="108" w:type="dxa"/>
            <w:bottom w:w="0" w:type="dxa"/>
            <w:right w:w="108" w:type="dxa"/>
          </w:tblCellMar>
        </w:tblPrEx>
        <w:trPr>
          <w:trHeight w:val="1084" w:hRule="atLeast"/>
          <w:jc w:val="center"/>
        </w:trPr>
        <w:tc>
          <w:tcPr>
            <w:tcW w:w="115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highlight w:val="yellow"/>
              </w:rPr>
            </w:pPr>
          </w:p>
        </w:tc>
        <w:tc>
          <w:tcPr>
            <w:tcW w:w="167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p>
        </w:tc>
        <w:tc>
          <w:tcPr>
            <w:tcW w:w="19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操作系统渗透测试及加固</w:t>
            </w:r>
          </w:p>
        </w:tc>
        <w:tc>
          <w:tcPr>
            <w:tcW w:w="348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Windows操作系统渗透测试及加固、Linux操作系统渗透测试及加固等。</w:t>
            </w:r>
          </w:p>
        </w:tc>
      </w:tr>
      <w:tr>
        <w:tblPrEx>
          <w:tblCellMar>
            <w:top w:w="0" w:type="dxa"/>
            <w:left w:w="108" w:type="dxa"/>
            <w:bottom w:w="0" w:type="dxa"/>
            <w:right w:w="108" w:type="dxa"/>
          </w:tblCellMar>
        </w:tblPrEx>
        <w:trPr>
          <w:trHeight w:val="1157" w:hRule="atLeast"/>
          <w:jc w:val="center"/>
        </w:trPr>
        <w:tc>
          <w:tcPr>
            <w:tcW w:w="115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highlight w:val="yellow"/>
              </w:rPr>
            </w:pPr>
          </w:p>
        </w:tc>
        <w:tc>
          <w:tcPr>
            <w:tcW w:w="167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p>
        </w:tc>
        <w:tc>
          <w:tcPr>
            <w:tcW w:w="198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Web应用渗透测试及加固</w:t>
            </w:r>
          </w:p>
        </w:tc>
        <w:tc>
          <w:tcPr>
            <w:tcW w:w="348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SQL Injection（SQL注入）漏洞渗透测试及加固、Command Injection（命令注入）漏洞渗透测试及加固、File Upload（文件上传）漏洞渗透测试及加固、Directory Traversing（目录穿越）漏洞渗透测试及加固、XSS（Cross Site Script）漏洞渗透测试及加固、CSRF（Cross Site Request Forgeries）漏洞渗透测试及加固、Session Hijacking（会话劫持）漏洞渗透测试及加固</w:t>
            </w:r>
          </w:p>
        </w:tc>
      </w:tr>
      <w:tr>
        <w:tblPrEx>
          <w:tblCellMar>
            <w:top w:w="0" w:type="dxa"/>
            <w:left w:w="108" w:type="dxa"/>
            <w:bottom w:w="0" w:type="dxa"/>
            <w:right w:w="108" w:type="dxa"/>
          </w:tblCellMar>
        </w:tblPrEx>
        <w:trPr>
          <w:trHeight w:val="1094" w:hRule="atLeast"/>
          <w:jc w:val="center"/>
        </w:trPr>
        <w:tc>
          <w:tcPr>
            <w:tcW w:w="1159"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highlight w:val="yellow"/>
              </w:rPr>
            </w:pPr>
          </w:p>
        </w:tc>
        <w:tc>
          <w:tcPr>
            <w:tcW w:w="1671"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highlight w:val="yellow"/>
              </w:rPr>
            </w:pPr>
          </w:p>
        </w:tc>
        <w:tc>
          <w:tcPr>
            <w:tcW w:w="198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网络安全数据分析</w:t>
            </w:r>
          </w:p>
        </w:tc>
        <w:tc>
          <w:tcPr>
            <w:tcW w:w="348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能够利用日志收集和分析工具对网络流量收集监控，维护网络安全。</w:t>
            </w:r>
          </w:p>
        </w:tc>
      </w:tr>
      <w:tr>
        <w:tblPrEx>
          <w:tblCellMar>
            <w:top w:w="0" w:type="dxa"/>
            <w:left w:w="108" w:type="dxa"/>
            <w:bottom w:w="0" w:type="dxa"/>
            <w:right w:w="108" w:type="dxa"/>
          </w:tblCellMar>
        </w:tblPrEx>
        <w:trPr>
          <w:trHeight w:val="1433" w:hRule="atLeast"/>
          <w:jc w:val="center"/>
        </w:trPr>
        <w:tc>
          <w:tcPr>
            <w:tcW w:w="1159"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highlight w:val="yellow"/>
              </w:rPr>
            </w:pPr>
          </w:p>
        </w:tc>
        <w:tc>
          <w:tcPr>
            <w:tcW w:w="1671"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highlight w:val="yellow"/>
              </w:rPr>
            </w:pPr>
          </w:p>
        </w:tc>
        <w:tc>
          <w:tcPr>
            <w:tcW w:w="19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常用渗透扫描工具使用与脚本语言应用</w:t>
            </w:r>
          </w:p>
        </w:tc>
        <w:tc>
          <w:tcPr>
            <w:tcW w:w="348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能够利用如Nmap、Nessus、metasploit等常用渗透扫描工具进行信息收集及系统渗透；</w:t>
            </w:r>
          </w:p>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熟悉shell，Python等脚本语言的应用。</w:t>
            </w:r>
          </w:p>
        </w:tc>
      </w:tr>
      <w:tr>
        <w:tblPrEx>
          <w:tblCellMar>
            <w:top w:w="0" w:type="dxa"/>
            <w:left w:w="108" w:type="dxa"/>
            <w:bottom w:w="0" w:type="dxa"/>
            <w:right w:w="108" w:type="dxa"/>
          </w:tblCellMar>
        </w:tblPrEx>
        <w:trPr>
          <w:trHeight w:val="510" w:hRule="atLeast"/>
          <w:jc w:val="center"/>
        </w:trPr>
        <w:tc>
          <w:tcPr>
            <w:tcW w:w="115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第二阶段</w:t>
            </w:r>
          </w:p>
        </w:tc>
        <w:tc>
          <w:tcPr>
            <w:tcW w:w="167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攻防对抗</w:t>
            </w:r>
          </w:p>
        </w:tc>
        <w:tc>
          <w:tcPr>
            <w:tcW w:w="198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参赛队之间进行对抗演练</w:t>
            </w:r>
          </w:p>
        </w:tc>
        <w:tc>
          <w:tcPr>
            <w:tcW w:w="348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after="157" w:afterLines="50" w:line="500" w:lineRule="exact"/>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Windows/Linux操作系统安全攻防、Web应用/数据库安全攻防等。</w:t>
            </w:r>
          </w:p>
        </w:tc>
      </w:tr>
    </w:tbl>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kern w:val="0"/>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kern w:val="0"/>
          <w:sz w:val="28"/>
          <w:szCs w:val="28"/>
        </w:rPr>
      </w:pP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四</w:t>
      </w:r>
      <w:r>
        <w:rPr>
          <w:rFonts w:hint="eastAsia" w:ascii="宋体" w:hAnsi="宋体" w:eastAsia="宋体" w:cs="宋体"/>
          <w:kern w:val="0"/>
          <w:sz w:val="28"/>
          <w:szCs w:val="28"/>
          <w:lang w:eastAsia="zh-CN"/>
        </w:rPr>
        <w:t>）</w:t>
      </w:r>
      <w:r>
        <w:rPr>
          <w:rFonts w:hint="eastAsia" w:ascii="宋体" w:hAnsi="宋体" w:eastAsia="宋体" w:cs="宋体"/>
          <w:kern w:val="0"/>
          <w:sz w:val="28"/>
          <w:szCs w:val="28"/>
        </w:rPr>
        <w:t>成绩产生办法</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评分阶段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3"/>
        <w:gridCol w:w="2400"/>
        <w:gridCol w:w="2184"/>
        <w:gridCol w:w="1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竞赛阶段</w:t>
            </w: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阶段名称</w:t>
            </w:r>
          </w:p>
        </w:tc>
        <w:tc>
          <w:tcPr>
            <w:tcW w:w="128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任务阶段</w:t>
            </w:r>
          </w:p>
        </w:tc>
        <w:tc>
          <w:tcPr>
            <w:tcW w:w="115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评分方式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152" w:type="pct"/>
            <w:vMerge w:val="restar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第一阶段</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权重70%</w:t>
            </w:r>
          </w:p>
        </w:tc>
        <w:tc>
          <w:tcPr>
            <w:tcW w:w="1408" w:type="pct"/>
            <w:vMerge w:val="restar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单兵模式系统渗透测试（本阶段由多个任务组成）</w:t>
            </w:r>
          </w:p>
        </w:tc>
        <w:tc>
          <w:tcPr>
            <w:tcW w:w="128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任务1</w:t>
            </w:r>
          </w:p>
        </w:tc>
        <w:tc>
          <w:tcPr>
            <w:tcW w:w="115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机考评分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p>
        </w:tc>
        <w:tc>
          <w:tcPr>
            <w:tcW w:w="1408"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p>
        </w:tc>
        <w:tc>
          <w:tcPr>
            <w:tcW w:w="128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任务2</w:t>
            </w:r>
          </w:p>
        </w:tc>
        <w:tc>
          <w:tcPr>
            <w:tcW w:w="115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机考评分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p>
        </w:tc>
        <w:tc>
          <w:tcPr>
            <w:tcW w:w="1408"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p>
        </w:tc>
        <w:tc>
          <w:tcPr>
            <w:tcW w:w="128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w:t>
            </w:r>
          </w:p>
        </w:tc>
        <w:tc>
          <w:tcPr>
            <w:tcW w:w="115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机考评分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52"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p>
        </w:tc>
        <w:tc>
          <w:tcPr>
            <w:tcW w:w="1408" w:type="pct"/>
            <w:vMerge w:val="continue"/>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p>
        </w:tc>
        <w:tc>
          <w:tcPr>
            <w:tcW w:w="128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任务N</w:t>
            </w:r>
          </w:p>
        </w:tc>
        <w:tc>
          <w:tcPr>
            <w:tcW w:w="115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机考评分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152"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第二阶段</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权重30%</w:t>
            </w:r>
          </w:p>
        </w:tc>
        <w:tc>
          <w:tcPr>
            <w:tcW w:w="1408"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分组对抗</w:t>
            </w:r>
          </w:p>
        </w:tc>
        <w:tc>
          <w:tcPr>
            <w:tcW w:w="1281"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系统攻防演练</w:t>
            </w:r>
          </w:p>
        </w:tc>
        <w:tc>
          <w:tcPr>
            <w:tcW w:w="1159" w:type="pct"/>
            <w:vAlign w:val="center"/>
          </w:tcPr>
          <w:p>
            <w:pPr>
              <w:keepNext w:val="0"/>
              <w:keepLines w:val="0"/>
              <w:pageBreakBefore w:val="0"/>
              <w:widowControl w:val="0"/>
              <w:kinsoku/>
              <w:wordWrap/>
              <w:overflowPunct/>
              <w:topLinePunct w:val="0"/>
              <w:autoSpaceDE/>
              <w:autoSpaceDN/>
              <w:bidi w:val="0"/>
              <w:adjustRightInd/>
              <w:snapToGrid/>
              <w:spacing w:after="157" w:afterLines="50" w:line="500" w:lineRule="exact"/>
              <w:ind w:firstLine="0" w:firstLineChars="0"/>
              <w:textAlignment w:val="auto"/>
              <w:rPr>
                <w:rFonts w:hint="eastAsia" w:ascii="宋体" w:hAnsi="宋体" w:eastAsia="宋体" w:cs="宋体"/>
                <w:sz w:val="28"/>
                <w:szCs w:val="28"/>
              </w:rPr>
            </w:pPr>
            <w:r>
              <w:rPr>
                <w:rFonts w:hint="eastAsia" w:ascii="宋体" w:hAnsi="宋体" w:eastAsia="宋体" w:cs="宋体"/>
                <w:sz w:val="28"/>
                <w:szCs w:val="28"/>
              </w:rPr>
              <w:t>机考评分</w:t>
            </w:r>
          </w:p>
        </w:tc>
      </w:tr>
    </w:tbl>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选手向考评服务器中提交每道赛题唯一的“KEY”值或“FLAG”值，所有得分由计算机自动评判，参赛队的得分等于队中两位参赛选手的得分总和。</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第一阶段评分规则</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第一阶段总分为700分,分为N个任务，每道题的具体分值在赛题中标明；系统自动评分和排名，公开显示在外接大屏幕上。</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第二阶段评分规则</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第二阶段总分为300分，初始分为100分；每提交1次对手靶机的FLAG值得分，每当被对手提交1次自身靶机的FLAG值扣分，每个对手靶机的FLAG值只能提交一次，得分和扣分的具体分值在赛题中标明。</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系统自动启动违规检测和扣分机制，如发现如下违规行为，系统均给予自动扣分，每检测到一次违规行为扣除一次分数，扣分明细显示在扣分榜中，记录在第二阶段总成绩中：</w:t>
      </w:r>
    </w:p>
    <w:p>
      <w:pPr>
        <w:pStyle w:val="9"/>
        <w:keepNext w:val="0"/>
        <w:keepLines w:val="0"/>
        <w:pageBreakBefore w:val="0"/>
        <w:widowControl w:val="0"/>
        <w:numPr>
          <w:ilvl w:val="0"/>
          <w:numId w:val="2"/>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启用FLAG检测机制，如发现FLAG异常（譬如：删除、修改、杀进程），记为一次违规行为；</w:t>
      </w:r>
    </w:p>
    <w:p>
      <w:pPr>
        <w:pStyle w:val="9"/>
        <w:keepNext w:val="0"/>
        <w:keepLines w:val="0"/>
        <w:pageBreakBefore w:val="0"/>
        <w:widowControl w:val="0"/>
        <w:numPr>
          <w:ilvl w:val="0"/>
          <w:numId w:val="2"/>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启用服务端口检测机制，如发现关闭赛题中要求开启的端口，记为一次违规行为；</w:t>
      </w:r>
    </w:p>
    <w:p>
      <w:pPr>
        <w:pStyle w:val="9"/>
        <w:keepNext w:val="0"/>
        <w:keepLines w:val="0"/>
        <w:pageBreakBefore w:val="0"/>
        <w:widowControl w:val="0"/>
        <w:numPr>
          <w:ilvl w:val="0"/>
          <w:numId w:val="2"/>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靶机服务器IP参数为DHCP自动获取，不允许自行修改，如修改触发上述①和②检测机制；</w:t>
      </w:r>
    </w:p>
    <w:p>
      <w:pPr>
        <w:pStyle w:val="9"/>
        <w:keepNext w:val="0"/>
        <w:keepLines w:val="0"/>
        <w:pageBreakBefore w:val="0"/>
        <w:widowControl w:val="0"/>
        <w:numPr>
          <w:ilvl w:val="0"/>
          <w:numId w:val="2"/>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在加固时间后，选手自己关闭靶机或被他人关闭，触发上述①和②检测机制，且裁判员不予帮助重启；</w:t>
      </w:r>
    </w:p>
    <w:p>
      <w:pPr>
        <w:pStyle w:val="9"/>
        <w:keepNext w:val="0"/>
        <w:keepLines w:val="0"/>
        <w:pageBreakBefore w:val="0"/>
        <w:widowControl w:val="0"/>
        <w:numPr>
          <w:ilvl w:val="0"/>
          <w:numId w:val="2"/>
        </w:numPr>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违反题目中规定的其他违规操作等（参考赛题）。</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八</w:t>
      </w:r>
      <w:r>
        <w:rPr>
          <w:rFonts w:hint="eastAsia" w:ascii="宋体" w:hAnsi="宋体" w:eastAsia="宋体" w:cs="宋体"/>
          <w:b/>
          <w:bCs/>
          <w:sz w:val="28"/>
          <w:szCs w:val="28"/>
        </w:rPr>
        <w:t>、竞赛时间</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2023年1</w:t>
      </w:r>
      <w:r>
        <w:rPr>
          <w:rFonts w:hint="eastAsia" w:ascii="宋体" w:hAnsi="宋体" w:eastAsia="宋体" w:cs="宋体"/>
          <w:sz w:val="28"/>
          <w:szCs w:val="28"/>
          <w:lang w:val="en-US" w:eastAsia="zh-CN"/>
        </w:rPr>
        <w:t>0</w:t>
      </w:r>
      <w:r>
        <w:rPr>
          <w:rFonts w:hint="eastAsia" w:ascii="宋体" w:hAnsi="宋体" w:eastAsia="宋体" w:cs="宋体"/>
          <w:sz w:val="28"/>
          <w:szCs w:val="28"/>
        </w:rPr>
        <w:t>月</w:t>
      </w:r>
      <w:r>
        <w:rPr>
          <w:rFonts w:hint="eastAsia" w:ascii="宋体" w:hAnsi="宋体" w:eastAsia="宋体" w:cs="宋体"/>
          <w:sz w:val="28"/>
          <w:szCs w:val="28"/>
          <w:lang w:val="en-US" w:eastAsia="zh-CN"/>
        </w:rPr>
        <w:t>2</w:t>
      </w:r>
      <w:r>
        <w:rPr>
          <w:rFonts w:hint="eastAsia" w:ascii="宋体" w:hAnsi="宋体" w:eastAsia="宋体" w:cs="宋体"/>
          <w:sz w:val="28"/>
          <w:szCs w:val="28"/>
          <w:lang w:val="en" w:eastAsia="zh-CN"/>
        </w:rPr>
        <w:t>8</w:t>
      </w:r>
      <w:r>
        <w:rPr>
          <w:rFonts w:hint="eastAsia" w:ascii="宋体" w:hAnsi="宋体" w:eastAsia="宋体" w:cs="宋体"/>
          <w:sz w:val="28"/>
          <w:szCs w:val="28"/>
          <w:lang w:val="en-US" w:eastAsia="zh-CN"/>
        </w:rPr>
        <w:t>日</w:t>
      </w:r>
      <w:r>
        <w:rPr>
          <w:rFonts w:hint="eastAsia" w:ascii="宋体" w:hAnsi="宋体" w:eastAsia="宋体" w:cs="宋体"/>
          <w:sz w:val="28"/>
          <w:szCs w:val="28"/>
        </w:rPr>
        <w:t>（</w:t>
      </w:r>
      <w:r>
        <w:rPr>
          <w:rFonts w:hint="eastAsia" w:ascii="宋体" w:hAnsi="宋体" w:eastAsia="宋体" w:cs="宋体"/>
          <w:sz w:val="28"/>
          <w:szCs w:val="28"/>
          <w:lang w:eastAsia="zh-CN"/>
        </w:rPr>
        <w:t>星期六</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九</w:t>
      </w:r>
      <w:r>
        <w:rPr>
          <w:rFonts w:hint="eastAsia" w:ascii="宋体" w:hAnsi="宋体" w:eastAsia="宋体" w:cs="宋体"/>
          <w:b/>
          <w:bCs/>
          <w:sz w:val="28"/>
          <w:szCs w:val="28"/>
        </w:rPr>
        <w:t>、竞赛地点</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中华职业学校（黄浦区斜土路 716 号）</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轨道交通：地铁 9 号线打浦桥站下、4 号线鲁班路站下</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十</w:t>
      </w:r>
      <w:r>
        <w:rPr>
          <w:rFonts w:hint="eastAsia" w:ascii="宋体" w:hAnsi="宋体" w:eastAsia="宋体" w:cs="宋体"/>
          <w:b/>
          <w:bCs/>
          <w:sz w:val="28"/>
          <w:szCs w:val="28"/>
        </w:rPr>
        <w:t>、奖项设置</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竞赛设一等奖 1 名；二等奖 </w:t>
      </w:r>
      <w:r>
        <w:rPr>
          <w:rFonts w:hint="eastAsia" w:ascii="宋体" w:hAnsi="宋体" w:eastAsia="宋体" w:cs="宋体"/>
          <w:sz w:val="28"/>
          <w:szCs w:val="28"/>
          <w:lang w:val="en-US" w:eastAsia="zh-CN"/>
        </w:rPr>
        <w:t>3</w:t>
      </w:r>
      <w:r>
        <w:rPr>
          <w:rFonts w:hint="eastAsia" w:ascii="宋体" w:hAnsi="宋体" w:eastAsia="宋体" w:cs="宋体"/>
          <w:sz w:val="28"/>
          <w:szCs w:val="28"/>
        </w:rPr>
        <w:t>名；三等奖</w:t>
      </w:r>
      <w:r>
        <w:rPr>
          <w:rFonts w:hint="eastAsia" w:ascii="宋体" w:hAnsi="宋体" w:eastAsia="宋体" w:cs="宋体"/>
          <w:sz w:val="28"/>
          <w:szCs w:val="28"/>
          <w:lang w:val="en-US" w:eastAsia="zh-CN"/>
        </w:rPr>
        <w:t xml:space="preserve"> </w:t>
      </w:r>
      <w:bookmarkStart w:id="0" w:name="_GoBack"/>
      <w:bookmarkEnd w:id="0"/>
      <w:r>
        <w:rPr>
          <w:rFonts w:hint="eastAsia" w:ascii="宋体" w:hAnsi="宋体" w:eastAsia="宋体" w:cs="宋体"/>
          <w:sz w:val="28"/>
          <w:szCs w:val="28"/>
          <w:lang w:val="en-US" w:eastAsia="zh-CN"/>
        </w:rPr>
        <w:t>5</w:t>
      </w:r>
      <w:r>
        <w:rPr>
          <w:rFonts w:hint="eastAsia" w:ascii="宋体" w:hAnsi="宋体" w:eastAsia="宋体" w:cs="宋体"/>
          <w:sz w:val="28"/>
          <w:szCs w:val="28"/>
        </w:rPr>
        <w:t>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t>十</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注意事项</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报名资格</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本市及长三角地区职业院校专业教师（包括实习指导教师）、社会培训机构培训教师</w:t>
      </w:r>
      <w:r>
        <w:rPr>
          <w:rFonts w:hint="eastAsia" w:ascii="宋体" w:hAnsi="宋体" w:eastAsia="宋体" w:cs="宋体"/>
          <w:sz w:val="28"/>
          <w:szCs w:val="28"/>
          <w:lang w:eastAsia="zh-CN"/>
        </w:rPr>
        <w:t>、</w:t>
      </w:r>
      <w:r>
        <w:rPr>
          <w:rFonts w:hint="eastAsia" w:ascii="宋体" w:hAnsi="宋体" w:eastAsia="宋体" w:cs="宋体"/>
          <w:sz w:val="28"/>
          <w:szCs w:val="28"/>
        </w:rPr>
        <w:t>企业培训教师、网络安全行业企业从业人员、网络安全技术爱好者等均可报名。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rPr>
        <w:t>竞赛工位通过抽签决定，竞赛期间参赛选手不得离开竞赛工位。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rPr>
        <w:t>竞赛所需的硬件设备、系统软件和辅助工具由组委会统一安排，参赛选手不得自带硬件设备、软件、移动存储、辅助工具、移动通信等进入竞赛现场。</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四</w:t>
      </w:r>
      <w:r>
        <w:rPr>
          <w:rFonts w:hint="eastAsia" w:ascii="宋体" w:hAnsi="宋体" w:eastAsia="宋体" w:cs="宋体"/>
          <w:sz w:val="28"/>
          <w:szCs w:val="28"/>
          <w:lang w:eastAsia="zh-CN"/>
        </w:rPr>
        <w:t>）</w:t>
      </w:r>
      <w:r>
        <w:rPr>
          <w:rFonts w:hint="eastAsia" w:ascii="宋体" w:hAnsi="宋体" w:eastAsia="宋体" w:cs="宋体"/>
          <w:sz w:val="28"/>
          <w:szCs w:val="28"/>
        </w:rPr>
        <w:t>参赛选手自行决定工作程序和时间安排。</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五</w:t>
      </w:r>
      <w:r>
        <w:rPr>
          <w:rFonts w:hint="eastAsia" w:ascii="宋体" w:hAnsi="宋体" w:eastAsia="宋体" w:cs="宋体"/>
          <w:sz w:val="28"/>
          <w:szCs w:val="28"/>
          <w:lang w:eastAsia="zh-CN"/>
        </w:rPr>
        <w:t>）</w:t>
      </w:r>
      <w:r>
        <w:rPr>
          <w:rFonts w:hint="eastAsia" w:ascii="宋体" w:hAnsi="宋体" w:eastAsia="宋体" w:cs="宋体"/>
          <w:sz w:val="28"/>
          <w:szCs w:val="28"/>
        </w:rPr>
        <w:t>参赛选手在赛前20分钟进入竞赛工位并领取竞赛任务，竞赛正式开始后方可展开相关工作。</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六</w:t>
      </w:r>
      <w:r>
        <w:rPr>
          <w:rFonts w:hint="eastAsia" w:ascii="宋体" w:hAnsi="宋体" w:eastAsia="宋体" w:cs="宋体"/>
          <w:sz w:val="28"/>
          <w:szCs w:val="28"/>
          <w:lang w:eastAsia="zh-CN"/>
        </w:rPr>
        <w:t>）</w:t>
      </w:r>
      <w:r>
        <w:rPr>
          <w:rFonts w:hint="eastAsia" w:ascii="宋体" w:hAnsi="宋体" w:eastAsia="宋体" w:cs="宋体"/>
          <w:sz w:val="28"/>
          <w:szCs w:val="28"/>
        </w:rPr>
        <w:t>竞赛过程中，选手须严格遵守操作规程，确保人身及设备安全，并接受裁判员的监督和警示。若因选手因素造成设备故障或损坏，无法继续竞赛，裁判长有权决定终止该队竞赛；若因非参赛选手个人因素造成设备故障，由裁判长视具体情况做出裁决。</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七</w:t>
      </w:r>
      <w:r>
        <w:rPr>
          <w:rFonts w:hint="eastAsia" w:ascii="宋体" w:hAnsi="宋体" w:eastAsia="宋体" w:cs="宋体"/>
          <w:sz w:val="28"/>
          <w:szCs w:val="28"/>
          <w:lang w:eastAsia="zh-CN"/>
        </w:rPr>
        <w:t>）</w:t>
      </w:r>
      <w:r>
        <w:rPr>
          <w:rFonts w:hint="eastAsia" w:ascii="宋体" w:hAnsi="宋体" w:eastAsia="宋体" w:cs="宋体"/>
          <w:sz w:val="28"/>
          <w:szCs w:val="28"/>
        </w:rPr>
        <w:t>竞赛结束（或提前完成）后，参赛选手起立，在确认后不得再进行任何操作，按顺序离场。</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八</w:t>
      </w:r>
      <w:r>
        <w:rPr>
          <w:rFonts w:hint="eastAsia" w:ascii="宋体" w:hAnsi="宋体" w:eastAsia="宋体" w:cs="宋体"/>
          <w:sz w:val="28"/>
          <w:szCs w:val="28"/>
          <w:lang w:eastAsia="zh-CN"/>
        </w:rPr>
        <w:t>）</w:t>
      </w:r>
      <w:r>
        <w:rPr>
          <w:rFonts w:hint="eastAsia" w:ascii="宋体" w:hAnsi="宋体" w:eastAsia="宋体" w:cs="宋体"/>
          <w:sz w:val="28"/>
          <w:szCs w:val="28"/>
        </w:rPr>
        <w:t>最终竞赛成绩经复核无误及裁判长、监督长签字确认后，在指定地点，以纸质形式在指定时间点向全体参赛队进行提前公布，各参赛队无异议后在闭赛式上予以宣布。</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九</w:t>
      </w:r>
      <w:r>
        <w:rPr>
          <w:rFonts w:hint="eastAsia" w:ascii="宋体" w:hAnsi="宋体" w:eastAsia="宋体" w:cs="宋体"/>
          <w:sz w:val="28"/>
          <w:szCs w:val="28"/>
          <w:lang w:eastAsia="zh-CN"/>
        </w:rPr>
        <w:t>）</w:t>
      </w:r>
      <w:r>
        <w:rPr>
          <w:rFonts w:hint="eastAsia" w:ascii="宋体" w:hAnsi="宋体" w:eastAsia="宋体" w:cs="宋体"/>
          <w:sz w:val="28"/>
          <w:szCs w:val="28"/>
        </w:rPr>
        <w:t>本赛项各阶段由计算机自动评分，各参赛队最终成绩由承办单位从考评服务器中导出打印，经赛项裁判长审核无误后签字，同时将裁判长签字的纸质打印成绩单报送大赛执委会。</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十</w:t>
      </w:r>
      <w:r>
        <w:rPr>
          <w:rFonts w:hint="eastAsia" w:ascii="宋体" w:hAnsi="宋体" w:eastAsia="宋体" w:cs="宋体"/>
          <w:sz w:val="28"/>
          <w:szCs w:val="28"/>
          <w:lang w:eastAsia="zh-CN"/>
        </w:rPr>
        <w:t>）</w:t>
      </w:r>
      <w:r>
        <w:rPr>
          <w:rFonts w:hint="eastAsia" w:ascii="宋体" w:hAnsi="宋体" w:eastAsia="宋体" w:cs="宋体"/>
          <w:sz w:val="28"/>
          <w:szCs w:val="28"/>
        </w:rPr>
        <w:t>赛项每个竞赛环节裁判评分的原始材料和最终成绩等结果性材料经监督组人员和裁判长签字后装袋密封留档，并由赛项承办院校封存，委派专人妥善保管。</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十</w:t>
      </w: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、选手须知</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各参赛选手要发扬良好道德风尚，听从指挥，服从裁判，不弄虚作假。如发现弄虚作假者，取消参赛资格，名次无效。</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rPr>
        <w:t>参赛选手应按有关要求如实填报个人信息，否则取消竞赛资格。</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三</w:t>
      </w:r>
      <w:r>
        <w:rPr>
          <w:rFonts w:hint="eastAsia" w:ascii="宋体" w:hAnsi="宋体" w:eastAsia="宋体" w:cs="宋体"/>
          <w:sz w:val="28"/>
          <w:szCs w:val="28"/>
          <w:lang w:eastAsia="zh-CN"/>
        </w:rPr>
        <w:t>）</w:t>
      </w:r>
      <w:r>
        <w:rPr>
          <w:rFonts w:hint="eastAsia" w:ascii="宋体" w:hAnsi="宋体" w:eastAsia="宋体" w:cs="宋体"/>
          <w:sz w:val="28"/>
          <w:szCs w:val="28"/>
        </w:rPr>
        <w:t>参赛选手应按照规定时间抵达赛场，凭统一印制的参赛证、有效身份证件检录，按要求入场，不得迟到早退。请勿携带任何电子设备及其他资料、用品进入赛场。</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四</w:t>
      </w:r>
      <w:r>
        <w:rPr>
          <w:rFonts w:hint="eastAsia" w:ascii="宋体" w:hAnsi="宋体" w:eastAsia="宋体" w:cs="宋体"/>
          <w:sz w:val="28"/>
          <w:szCs w:val="28"/>
          <w:lang w:eastAsia="zh-CN"/>
        </w:rPr>
        <w:t>）</w:t>
      </w:r>
      <w:r>
        <w:rPr>
          <w:rFonts w:hint="eastAsia" w:ascii="宋体" w:hAnsi="宋体" w:eastAsia="宋体" w:cs="宋体"/>
          <w:sz w:val="28"/>
          <w:szCs w:val="28"/>
        </w:rPr>
        <w:t>参加选手应认真学习领会本次竞赛相关文件，自觉遵守大赛纪律，服从指挥，听从安排，文明参赛。</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五</w:t>
      </w:r>
      <w:r>
        <w:rPr>
          <w:rFonts w:hint="eastAsia" w:ascii="宋体" w:hAnsi="宋体" w:eastAsia="宋体" w:cs="宋体"/>
          <w:sz w:val="28"/>
          <w:szCs w:val="28"/>
          <w:lang w:eastAsia="zh-CN"/>
        </w:rPr>
        <w:t>）</w:t>
      </w:r>
      <w:r>
        <w:rPr>
          <w:rFonts w:hint="eastAsia" w:ascii="宋体" w:hAnsi="宋体" w:eastAsia="宋体" w:cs="宋体"/>
          <w:sz w:val="28"/>
          <w:szCs w:val="28"/>
        </w:rPr>
        <w:t>参赛选手应增强角色意识，科学合理做好时间分配。</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六</w:t>
      </w:r>
      <w:r>
        <w:rPr>
          <w:rFonts w:hint="eastAsia" w:ascii="宋体" w:hAnsi="宋体" w:eastAsia="宋体" w:cs="宋体"/>
          <w:sz w:val="28"/>
          <w:szCs w:val="28"/>
          <w:lang w:eastAsia="zh-CN"/>
        </w:rPr>
        <w:t>）</w:t>
      </w:r>
      <w:r>
        <w:rPr>
          <w:rFonts w:hint="eastAsia" w:ascii="宋体" w:hAnsi="宋体" w:eastAsia="宋体" w:cs="宋体"/>
          <w:sz w:val="28"/>
          <w:szCs w:val="28"/>
        </w:rPr>
        <w:t>参赛选手应按有关要求在指定位置就坐。</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七</w:t>
      </w:r>
      <w:r>
        <w:rPr>
          <w:rFonts w:hint="eastAsia" w:ascii="宋体" w:hAnsi="宋体" w:eastAsia="宋体" w:cs="宋体"/>
          <w:sz w:val="28"/>
          <w:szCs w:val="28"/>
          <w:lang w:eastAsia="zh-CN"/>
        </w:rPr>
        <w:t>）</w:t>
      </w:r>
      <w:r>
        <w:rPr>
          <w:rFonts w:hint="eastAsia" w:ascii="宋体" w:hAnsi="宋体" w:eastAsia="宋体" w:cs="宋体"/>
          <w:sz w:val="28"/>
          <w:szCs w:val="28"/>
        </w:rPr>
        <w:t>参赛选手须在确认竞赛内容和现场设备等无误后开始竞赛。在竞赛过程中，确因计算机软件或硬件故障，致使操作无法继续的，经项目裁判长确认，予以启用备用计算机。</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八</w:t>
      </w:r>
      <w:r>
        <w:rPr>
          <w:rFonts w:hint="eastAsia" w:ascii="宋体" w:hAnsi="宋体" w:eastAsia="宋体" w:cs="宋体"/>
          <w:sz w:val="28"/>
          <w:szCs w:val="28"/>
          <w:lang w:eastAsia="zh-CN"/>
        </w:rPr>
        <w:t>）</w:t>
      </w:r>
      <w:r>
        <w:rPr>
          <w:rFonts w:hint="eastAsia" w:ascii="宋体" w:hAnsi="宋体" w:eastAsia="宋体" w:cs="宋体"/>
          <w:sz w:val="28"/>
          <w:szCs w:val="28"/>
        </w:rPr>
        <w:t>各参赛选手必须按规范要求操作竞赛设备。一旦出现较严重的安全事故，经总裁判长批准后将立即取消其参赛资格。</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九</w:t>
      </w:r>
      <w:r>
        <w:rPr>
          <w:rFonts w:hint="eastAsia" w:ascii="宋体" w:hAnsi="宋体" w:eastAsia="宋体" w:cs="宋体"/>
          <w:sz w:val="28"/>
          <w:szCs w:val="28"/>
          <w:lang w:eastAsia="zh-CN"/>
        </w:rPr>
        <w:t>）</w:t>
      </w:r>
      <w:r>
        <w:rPr>
          <w:rFonts w:hint="eastAsia" w:ascii="宋体" w:hAnsi="宋体" w:eastAsia="宋体" w:cs="宋体"/>
          <w:sz w:val="28"/>
          <w:szCs w:val="28"/>
        </w:rPr>
        <w:t>参赛选手需详细阅读赛题中竞赛文档命名的要求，不得在提交的竞赛文档中标识出任何关于参赛选手地名、校名、姓名、参赛编号等信息，否则取消竞赛成绩。</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十</w:t>
      </w:r>
      <w:r>
        <w:rPr>
          <w:rFonts w:hint="eastAsia" w:ascii="宋体" w:hAnsi="宋体" w:eastAsia="宋体" w:cs="宋体"/>
          <w:sz w:val="28"/>
          <w:szCs w:val="28"/>
          <w:lang w:eastAsia="zh-CN"/>
        </w:rPr>
        <w:t>）</w:t>
      </w:r>
      <w:r>
        <w:rPr>
          <w:rFonts w:hint="eastAsia" w:ascii="宋体" w:hAnsi="宋体" w:eastAsia="宋体" w:cs="宋体"/>
          <w:sz w:val="28"/>
          <w:szCs w:val="28"/>
        </w:rPr>
        <w:t>竞赛时间终了，选手应全体起立，结束操作，将资料和工具整齐摆放在操作平台上，经工作人员清点后可离开赛场。离开赛场时不得带走任何资料。</w:t>
      </w:r>
    </w:p>
    <w:p>
      <w:pPr>
        <w:keepNext w:val="0"/>
        <w:keepLines w:val="0"/>
        <w:pageBreakBefore w:val="0"/>
        <w:widowControl w:val="0"/>
        <w:kinsoku/>
        <w:wordWrap/>
        <w:overflowPunct/>
        <w:topLinePunct w:val="0"/>
        <w:autoSpaceDE/>
        <w:autoSpaceDN/>
        <w:bidi w:val="0"/>
        <w:adjustRightInd/>
        <w:snapToGrid/>
        <w:spacing w:after="157" w:afterLines="50" w:line="5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十一</w:t>
      </w:r>
      <w:r>
        <w:rPr>
          <w:rFonts w:hint="eastAsia" w:ascii="宋体" w:hAnsi="宋体" w:eastAsia="宋体" w:cs="宋体"/>
          <w:sz w:val="28"/>
          <w:szCs w:val="28"/>
          <w:lang w:eastAsia="zh-CN"/>
        </w:rPr>
        <w:t>）</w:t>
      </w:r>
      <w:r>
        <w:rPr>
          <w:rFonts w:hint="eastAsia" w:ascii="宋体" w:hAnsi="宋体" w:eastAsia="宋体" w:cs="宋体"/>
          <w:sz w:val="28"/>
          <w:szCs w:val="28"/>
        </w:rPr>
        <w:t>在竞赛期间，未经执委会批准，参赛选手不得接受其他单位和个人进行的与竞赛内容相关的采访。参赛选手不得将竞赛的相关信息私自公布。</w:t>
      </w:r>
    </w:p>
    <w:sectPr>
      <w:pgSz w:w="11907" w:h="16840"/>
      <w:pgMar w:top="1440" w:right="1800" w:bottom="1440" w:left="1800" w:header="851" w:footer="79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decimalEnclosedCircle"/>
      <w:lvlText w:val="%1"/>
      <w:lvlJc w:val="left"/>
      <w:pPr>
        <w:ind w:left="1000" w:hanging="440"/>
      </w:pPr>
      <w:rPr>
        <w:rFonts w:ascii="宋体" w:hAnsi="宋体" w:eastAsia="宋体" w:cs="宋体"/>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
    <w:nsid w:val="00000002"/>
    <w:multiLevelType w:val="multilevel"/>
    <w:tmpl w:val="00000002"/>
    <w:lvl w:ilvl="0" w:tentative="0">
      <w:start w:val="1"/>
      <w:numFmt w:val="decimalEnclosedCircle"/>
      <w:lvlText w:val="%1"/>
      <w:lvlJc w:val="left"/>
      <w:pPr>
        <w:ind w:left="920" w:hanging="360"/>
      </w:pPr>
      <w:rPr>
        <w:rFonts w:hint="default"/>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HorizontalSpacing w:val="1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000000"/>
    <w:rsid w:val="0FFD3B04"/>
    <w:rsid w:val="227A40E7"/>
    <w:rsid w:val="5B3F570D"/>
    <w:rsid w:val="5E7B18C1"/>
    <w:rsid w:val="75BF2030"/>
    <w:rsid w:val="7F672428"/>
    <w:rsid w:val="7F686885"/>
    <w:rsid w:val="7FED6DDB"/>
    <w:rsid w:val="BA7B23C6"/>
    <w:rsid w:val="BCFA848D"/>
    <w:rsid w:val="DFA37DA6"/>
    <w:rsid w:val="F7F30F12"/>
    <w:rsid w:val="FFF3A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tabs>
        <w:tab w:val="center" w:pos="4153"/>
        <w:tab w:val="right" w:pos="8306"/>
      </w:tabs>
      <w:snapToGrid w:val="0"/>
      <w:jc w:val="center"/>
    </w:pPr>
    <w:rPr>
      <w:sz w:val="18"/>
      <w:szCs w:val="18"/>
    </w:rPr>
  </w:style>
  <w:style w:type="paragraph" w:styleId="4">
    <w:name w:val="Subtitle"/>
    <w:basedOn w:val="1"/>
    <w:next w:val="1"/>
    <w:link w:val="10"/>
    <w:qFormat/>
    <w:uiPriority w:val="0"/>
    <w:pPr>
      <w:spacing w:before="240" w:after="60" w:line="312" w:lineRule="auto"/>
      <w:jc w:val="center"/>
      <w:outlineLvl w:val="1"/>
    </w:pPr>
    <w:rPr>
      <w:rFonts w:ascii="Cambria" w:hAnsi="Cambria" w:cs="Times New Roman"/>
      <w:b/>
      <w:bCs/>
      <w:kern w:val="28"/>
      <w:sz w:val="32"/>
      <w:szCs w:val="32"/>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副标题 字符"/>
    <w:basedOn w:val="6"/>
    <w:link w:val="4"/>
    <w:qFormat/>
    <w:uiPriority w:val="0"/>
    <w:rPr>
      <w:rFonts w:ascii="Cambria" w:hAnsi="Cambria" w:cs="Times New Roman"/>
      <w:b/>
      <w:bCs/>
      <w:kern w:val="28"/>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3714</Words>
  <Characters>4197</Characters>
  <Paragraphs>198</Paragraphs>
  <TotalTime>8</TotalTime>
  <ScaleCrop>false</ScaleCrop>
  <LinksUpToDate>false</LinksUpToDate>
  <CharactersWithSpaces>4247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2023-08-17T00:22:00Z</dcterms:created>
  <dc:creator>张 天乐</dc:creator>
  <cp:lastModifiedBy>朱松杰</cp:lastModifiedBy>
  <dcterms:modified xsi:type="dcterms:W3CDTF">2023-09-20T02:22:28Z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899dc4c3526b40e1af7d091b926d9466</vt:lpwstr>
  </property>
  <property fmtid="{D5CDD505-2E9C-101B-9397-08002B2CF9AE}" pid="3" name="KSOProductBuildVer">
    <vt:lpwstr>2052-12.1.0.15374</vt:lpwstr>
  </property>
</Properties>
</file>