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firstLineChars="200"/>
        <w:rPr>
          <w:rFonts w:ascii="仿宋" w:hAnsi="仿宋" w:eastAsia="仿宋"/>
          <w:sz w:val="28"/>
        </w:rPr>
      </w:pPr>
      <w:r>
        <w:rPr>
          <w:rFonts w:ascii="仿宋" w:hAnsi="仿宋" w:eastAsia="仿宋"/>
          <w:sz w:val="28"/>
        </w:rPr>
        <w:t>附件</w:t>
      </w:r>
      <w:r>
        <w:rPr>
          <w:rFonts w:hint="eastAsia" w:ascii="仿宋" w:hAnsi="仿宋" w:eastAsia="仿宋"/>
          <w:sz w:val="28"/>
        </w:rPr>
        <w:t>2</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2019年上海高职高专院校市级精品在线开放课程</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评选指标</w:t>
      </w:r>
    </w:p>
    <w:tbl>
      <w:tblPr>
        <w:tblStyle w:val="2"/>
        <w:tblW w:w="8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40"/>
        <w:gridCol w:w="927"/>
        <w:gridCol w:w="6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1867" w:type="dxa"/>
            <w:gridSpan w:val="2"/>
            <w:tcBorders>
              <w:top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hint="eastAsia" w:ascii="仿宋_GB2312" w:eastAsia="仿宋_GB2312"/>
                <w:bCs/>
                <w:sz w:val="24"/>
                <w:szCs w:val="24"/>
              </w:rPr>
              <w:t>评审</w:t>
            </w:r>
          </w:p>
          <w:p>
            <w:pPr>
              <w:spacing w:line="280" w:lineRule="exact"/>
              <w:jc w:val="center"/>
              <w:rPr>
                <w:rFonts w:ascii="仿宋_GB2312" w:hAnsi="宋体" w:eastAsia="仿宋_GB2312"/>
                <w:sz w:val="24"/>
                <w:szCs w:val="24"/>
              </w:rPr>
            </w:pPr>
            <w:r>
              <w:rPr>
                <w:rFonts w:hint="eastAsia" w:ascii="仿宋_GB2312" w:eastAsia="仿宋_GB2312"/>
                <w:bCs/>
                <w:sz w:val="24"/>
                <w:szCs w:val="24"/>
              </w:rPr>
              <w:t>指标</w:t>
            </w:r>
          </w:p>
        </w:tc>
        <w:tc>
          <w:tcPr>
            <w:tcW w:w="6565" w:type="dxa"/>
            <w:tcBorders>
              <w:top w:val="single" w:color="auto" w:sz="4" w:space="0"/>
              <w:left w:val="single" w:color="auto" w:sz="4" w:space="0"/>
            </w:tcBorders>
            <w:tcMar>
              <w:top w:w="0" w:type="dxa"/>
              <w:left w:w="57" w:type="dxa"/>
              <w:bottom w:w="0" w:type="dxa"/>
              <w:right w:w="57" w:type="dxa"/>
            </w:tcMar>
            <w:vAlign w:val="center"/>
          </w:tcPr>
          <w:p>
            <w:pPr>
              <w:spacing w:line="280" w:lineRule="exact"/>
              <w:jc w:val="center"/>
              <w:rPr>
                <w:rFonts w:ascii="仿宋_GB2312" w:hAnsi="宋体" w:eastAsia="仿宋_GB2312"/>
                <w:sz w:val="24"/>
                <w:szCs w:val="24"/>
              </w:rPr>
            </w:pPr>
            <w:bookmarkStart w:id="0" w:name="_GoBack"/>
            <w:bookmarkEnd w:id="0"/>
            <w:r>
              <w:rPr>
                <w:rFonts w:hint="eastAsia" w:ascii="仿宋_GB2312" w:eastAsia="仿宋_GB2312"/>
                <w:bC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一</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教</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学</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队</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伍</w:t>
            </w:r>
          </w:p>
          <w:p>
            <w:pPr>
              <w:spacing w:line="240" w:lineRule="exact"/>
              <w:jc w:val="center"/>
              <w:rPr>
                <w:rFonts w:ascii="仿宋_GB2312" w:hAnsi="宋体"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sz w:val="24"/>
                <w:szCs w:val="24"/>
              </w:rPr>
            </w:pPr>
            <w:r>
              <w:rPr>
                <w:rFonts w:hint="eastAsia" w:ascii="仿宋_GB2312" w:eastAsia="仿宋_GB2312"/>
                <w:bCs/>
                <w:sz w:val="24"/>
                <w:szCs w:val="24"/>
              </w:rPr>
              <w:t>1</w:t>
            </w:r>
            <w:r>
              <w:rPr>
                <w:rFonts w:ascii="仿宋_GB2312" w:eastAsia="仿宋_GB2312"/>
                <w:bCs/>
                <w:sz w:val="24"/>
                <w:szCs w:val="24"/>
              </w:rPr>
              <w:t>-1</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主讲</w:t>
            </w:r>
          </w:p>
          <w:p>
            <w:pPr>
              <w:spacing w:line="280" w:lineRule="exact"/>
              <w:jc w:val="center"/>
              <w:rPr>
                <w:rFonts w:ascii="仿宋_GB2312" w:hAnsi="宋体" w:eastAsia="仿宋_GB2312"/>
                <w:sz w:val="24"/>
                <w:szCs w:val="24"/>
              </w:rPr>
            </w:pPr>
            <w:r>
              <w:rPr>
                <w:rFonts w:hint="eastAsia" w:ascii="仿宋_GB2312" w:eastAsia="仿宋_GB2312"/>
                <w:bCs/>
                <w:sz w:val="24"/>
                <w:szCs w:val="24"/>
              </w:rPr>
              <w:t>教师</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ind w:right="-57" w:rightChars="-27"/>
              <w:jc w:val="left"/>
              <w:rPr>
                <w:rFonts w:ascii="仿宋_GB2312" w:hAnsi="宋体" w:eastAsia="仿宋_GB2312"/>
                <w:sz w:val="24"/>
                <w:szCs w:val="24"/>
              </w:rPr>
            </w:pPr>
            <w:r>
              <w:rPr>
                <w:rFonts w:hint="eastAsia" w:ascii="仿宋_GB2312" w:eastAsia="仿宋_GB2312"/>
                <w:bCs/>
                <w:sz w:val="24"/>
                <w:szCs w:val="24"/>
              </w:rPr>
              <w:t>课程负责人须为申报高校正式聘用的教师，具有丰富的教学经验和较高学术造诣。主讲教师师德高尚、治学严谨；执教能力强，教学效果好，主持和参与职业教育理论研究或信息技术与教育教学深度融合的教学改革项目，成果显著；与企业联系密切，参与校企合作或相关专业技术服务项目，成效明显，并在行业企业有一定影响；主讲教师中有来自于行业企业的技师及以上人员。课程负责人原则上具有高级职称及与本课程相关的高级职业资格证书。同一课程负责人只能申报一门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sz w:val="24"/>
                <w:szCs w:val="24"/>
              </w:rPr>
            </w:pPr>
            <w:r>
              <w:rPr>
                <w:rFonts w:hint="eastAsia" w:ascii="仿宋_GB2312" w:eastAsia="仿宋_GB2312"/>
                <w:bCs/>
                <w:sz w:val="24"/>
                <w:szCs w:val="24"/>
              </w:rPr>
              <w:t>1</w:t>
            </w:r>
            <w:r>
              <w:rPr>
                <w:rFonts w:ascii="仿宋_GB2312" w:eastAsia="仿宋_GB2312"/>
                <w:bCs/>
                <w:sz w:val="24"/>
                <w:szCs w:val="24"/>
              </w:rPr>
              <w:t>-2</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教学</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队伍</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结构</w:t>
            </w:r>
          </w:p>
          <w:p>
            <w:pPr>
              <w:spacing w:line="280" w:lineRule="exact"/>
              <w:jc w:val="center"/>
              <w:rPr>
                <w:rFonts w:ascii="仿宋_GB2312" w:hAnsi="宋体" w:eastAsia="仿宋_GB2312"/>
                <w:sz w:val="24"/>
                <w:szCs w:val="24"/>
              </w:rPr>
            </w:pP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课程团队结构合理、人员稳定，除课程负责人和主讲教师外，原则上应配备必要的助理教师，保障线上线下教学正常有序运行。专任教师中“双师”素质教师和有企业经历的教师比例、专业教师中来自行业企业的兼职教师比例符合课程性质和教学实施的要求；专任教师具有相关行业的职业技能证书；行业企业兼职教师承担适当比例的实践型课程教学任务。“双师”比例、职业技能证书和兼职教师等方面的要求，原则上应符合国家示范院校重点专业建设中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二</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课</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程</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设</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置</w:t>
            </w:r>
          </w:p>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ascii="仿宋_GB2312" w:hAnsi="宋体" w:eastAsia="仿宋_GB2312"/>
                <w:sz w:val="24"/>
                <w:szCs w:val="24"/>
              </w:rPr>
            </w:pPr>
            <w:r>
              <w:rPr>
                <w:rFonts w:ascii="仿宋_GB2312" w:hAnsi="宋体" w:eastAsia="仿宋_GB2312"/>
                <w:sz w:val="24"/>
                <w:szCs w:val="24"/>
              </w:rPr>
              <w:t>1-1</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课程</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定位</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ascii="仿宋_GB2312" w:hAnsi="宋体" w:eastAsia="仿宋_GB2312"/>
                <w:sz w:val="24"/>
                <w:szCs w:val="24"/>
              </w:rPr>
            </w:pPr>
            <w:r>
              <w:rPr>
                <w:rFonts w:hint="eastAsia" w:ascii="仿宋_GB2312" w:eastAsia="仿宋_GB2312"/>
                <w:bCs/>
                <w:sz w:val="24"/>
                <w:szCs w:val="24"/>
              </w:rPr>
              <w:t>课程体系符合高素质技术技能人才培养目标和专业相关技术领域职业岗位（群）的任职要求；本课程对学生职业能力培养和职业素养养成起主要支撑或明显促进作用，且与前、后续课程衔接得当。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top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ascii="仿宋_GB2312" w:hAnsi="宋体" w:eastAsia="仿宋_GB2312"/>
                <w:sz w:val="24"/>
                <w:szCs w:val="24"/>
              </w:rPr>
            </w:pPr>
            <w:r>
              <w:rPr>
                <w:rFonts w:ascii="仿宋_GB2312" w:hAnsi="宋体" w:eastAsia="仿宋_GB2312"/>
                <w:sz w:val="24"/>
                <w:szCs w:val="24"/>
              </w:rPr>
              <w:t>1-2</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课程</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设计</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以职业能力和素养培养为重点，与行业企业合作进行基于工作过程的课程开发与设计，充分体现职业性、实践性和开放性的要求；将行业最新技术技能标准引入到课程设计和课程内容中，体现前沿性和时代性，反映产业和专业最新发展成果和教改教研成果；注重创新创业教育；坚持立德树人，体现课程思政理念，弘扬社会主义核心价值观。</w:t>
            </w:r>
            <w:r>
              <w:rPr>
                <w:rFonts w:ascii="仿宋_GB2312" w:eastAsia="仿宋_GB2312"/>
                <w:bCs/>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三</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教</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学</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设</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计</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ascii="仿宋_GB2312" w:eastAsia="仿宋_GB2312"/>
                <w:bCs/>
                <w:sz w:val="24"/>
                <w:szCs w:val="24"/>
              </w:rPr>
              <w:t>3-1</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教学</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模式</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sz w:val="24"/>
                <w:szCs w:val="24"/>
              </w:rPr>
              <w:t>重视学生学习与实际工作的一致性，体现以学生为中心，注重学生创新性思维、合作能力、复杂问题解决能力的培育，构建体现信息技术与教育教学深度融合的课程结构和教学组织模式，课程知识体系科学，资源配置、考核评价方式合理，适合在线学习和混合式教学。根据学情分析，有针对性地采取工学交替、任务驱动、项目</w:t>
            </w:r>
            <w:r>
              <w:rPr>
                <w:rFonts w:hint="eastAsia" w:ascii="仿宋_GB2312" w:eastAsia="仿宋_GB2312"/>
                <w:bCs/>
                <w:sz w:val="24"/>
                <w:szCs w:val="24"/>
              </w:rPr>
              <w:t>引领</w:t>
            </w:r>
            <w:r>
              <w:rPr>
                <w:rFonts w:hint="eastAsia" w:ascii="仿宋_GB2312" w:eastAsia="仿宋_GB2312"/>
                <w:sz w:val="24"/>
                <w:szCs w:val="24"/>
              </w:rPr>
              <w:t>等</w:t>
            </w:r>
            <w:r>
              <w:rPr>
                <w:rFonts w:hint="eastAsia" w:ascii="仿宋_GB2312" w:eastAsia="仿宋_GB2312"/>
                <w:bCs/>
                <w:sz w:val="24"/>
                <w:szCs w:val="24"/>
              </w:rPr>
              <w:t>行动导向的</w:t>
            </w:r>
            <w:r>
              <w:rPr>
                <w:rFonts w:hint="eastAsia" w:ascii="仿宋_GB2312" w:eastAsia="仿宋_GB2312"/>
                <w:sz w:val="24"/>
                <w:szCs w:val="24"/>
              </w:rPr>
              <w:t>教学模式。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ascii="仿宋_GB2312" w:eastAsia="仿宋_GB2312"/>
                <w:bCs/>
                <w:sz w:val="24"/>
                <w:szCs w:val="24"/>
              </w:rPr>
              <w:t>3-2</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教学</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方法</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sz w:val="24"/>
                <w:szCs w:val="24"/>
              </w:rPr>
              <w:t>根据课程内容和学生特点，</w:t>
            </w:r>
            <w:r>
              <w:rPr>
                <w:rFonts w:hint="eastAsia" w:ascii="仿宋_GB2312" w:eastAsia="仿宋_GB2312"/>
                <w:bCs/>
                <w:sz w:val="24"/>
                <w:szCs w:val="24"/>
              </w:rPr>
              <w:t>灵活运用案例分析、分组讨论、角色扮演、启发引导等教学方法，突出技术技能教学特色，引导学生积极思考、乐于实践，提高教与学效果；注重培养学生解决工作岗位复杂事件能力。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sz w:val="24"/>
                <w:szCs w:val="24"/>
              </w:rPr>
            </w:pPr>
            <w:r>
              <w:rPr>
                <w:rFonts w:hint="eastAsia" w:ascii="仿宋_GB2312" w:eastAsia="仿宋_GB2312"/>
                <w:bCs/>
                <w:sz w:val="24"/>
                <w:szCs w:val="24"/>
              </w:rPr>
              <w:t>3</w:t>
            </w:r>
            <w:r>
              <w:rPr>
                <w:rFonts w:ascii="仿宋_GB2312" w:eastAsia="仿宋_GB2312"/>
                <w:bCs/>
                <w:sz w:val="24"/>
                <w:szCs w:val="24"/>
              </w:rPr>
              <w:t>-</w:t>
            </w:r>
            <w:r>
              <w:rPr>
                <w:rFonts w:hint="eastAsia" w:ascii="仿宋_GB2312" w:eastAsia="仿宋_GB2312"/>
                <w:bCs/>
                <w:sz w:val="24"/>
                <w:szCs w:val="24"/>
              </w:rPr>
              <w:t>3</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教学</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形态</w:t>
            </w:r>
          </w:p>
          <w:p>
            <w:pPr>
              <w:spacing w:line="280" w:lineRule="exact"/>
              <w:jc w:val="center"/>
              <w:rPr>
                <w:rFonts w:hint="eastAsia" w:ascii="仿宋_GB2312" w:eastAsia="仿宋_GB2312"/>
                <w:bCs/>
                <w:sz w:val="24"/>
                <w:szCs w:val="24"/>
              </w:rPr>
            </w:pP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注重课程展示形态多样化，采用与课程内容相匹配的图文并茂课件，适合高职学生学习特征和认知规律，提高教学质量。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ascii="仿宋_GB2312" w:eastAsia="仿宋_GB2312"/>
                <w:bCs/>
                <w:sz w:val="24"/>
                <w:szCs w:val="24"/>
              </w:rPr>
              <w:t>3-</w:t>
            </w:r>
            <w:r>
              <w:rPr>
                <w:rFonts w:hint="eastAsia" w:ascii="仿宋_GB2312" w:eastAsia="仿宋_GB2312"/>
                <w:bCs/>
                <w:sz w:val="24"/>
                <w:szCs w:val="24"/>
              </w:rPr>
              <w:t>4</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教学</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手段</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运用现代信息技术，提高与课程内容教学设计的融合度，优化教学过程，提高教学水平和效率；利用信息技术手段对课程教学各环节进行有效管理，提高学生学习能力和教学效果。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四</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教</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学</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内</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容</w:t>
            </w: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hint="eastAsia" w:ascii="仿宋_GB2312" w:eastAsia="仿宋_GB2312"/>
                <w:bCs/>
                <w:sz w:val="24"/>
                <w:szCs w:val="24"/>
              </w:rPr>
              <w:t>4</w:t>
            </w:r>
            <w:r>
              <w:rPr>
                <w:rFonts w:ascii="仿宋_GB2312" w:eastAsia="仿宋_GB2312"/>
                <w:bCs/>
                <w:sz w:val="24"/>
                <w:szCs w:val="24"/>
              </w:rPr>
              <w:t>-1</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内容</w:t>
            </w:r>
          </w:p>
          <w:p>
            <w:pPr>
              <w:spacing w:line="280" w:lineRule="exact"/>
              <w:jc w:val="center"/>
              <w:rPr>
                <w:rFonts w:ascii="仿宋_GB2312" w:hAnsi="宋体" w:eastAsia="仿宋_GB2312"/>
                <w:sz w:val="24"/>
                <w:szCs w:val="24"/>
              </w:rPr>
            </w:pPr>
            <w:r>
              <w:rPr>
                <w:rFonts w:hint="eastAsia" w:ascii="仿宋_GB2312" w:eastAsia="仿宋_GB2312"/>
                <w:bCs/>
                <w:sz w:val="24"/>
                <w:szCs w:val="24"/>
              </w:rPr>
              <w:t>选取</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ascii="仿宋_GB2312" w:hAnsi="宋体" w:eastAsia="仿宋_GB2312"/>
                <w:sz w:val="24"/>
                <w:szCs w:val="24"/>
              </w:rPr>
            </w:pPr>
            <w:r>
              <w:rPr>
                <w:rFonts w:hint="eastAsia" w:ascii="仿宋_GB2312" w:eastAsia="仿宋_GB2312"/>
                <w:bCs/>
                <w:sz w:val="24"/>
                <w:szCs w:val="24"/>
              </w:rPr>
              <w:t>坚持立德树人，能够将思想政治教育内化为课程内容，弘扬社会主义核心价值观。课程内容规范完整，更新和完善及时。无危害国家安全、涉密及其他不适宜网络公开传播的内容，无侵犯他人知识产权内容。根据行业企业发展需要和完成职业岗位群实际工作任务所需要的知识、能力、素质要求，突出技术技能要求</w:t>
            </w:r>
            <w:r>
              <w:rPr>
                <w:rFonts w:hint="eastAsia" w:ascii="黑体" w:eastAsia="黑体"/>
                <w:bCs/>
                <w:sz w:val="24"/>
                <w:szCs w:val="24"/>
              </w:rPr>
              <w:t>，</w:t>
            </w:r>
            <w:r>
              <w:rPr>
                <w:rFonts w:hint="eastAsia" w:ascii="仿宋_GB2312" w:eastAsia="仿宋_GB2312"/>
                <w:bCs/>
                <w:sz w:val="24"/>
                <w:szCs w:val="24"/>
              </w:rPr>
              <w:t>选取教学内容，并为学生可持续发展奠定良好的基础。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top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sz w:val="24"/>
                <w:szCs w:val="24"/>
              </w:rPr>
            </w:pPr>
            <w:r>
              <w:rPr>
                <w:rFonts w:hint="eastAsia" w:ascii="仿宋_GB2312" w:eastAsia="仿宋_GB2312"/>
                <w:bCs/>
                <w:sz w:val="24"/>
                <w:szCs w:val="24"/>
              </w:rPr>
              <w:t>4</w:t>
            </w:r>
            <w:r>
              <w:rPr>
                <w:rFonts w:ascii="仿宋_GB2312" w:eastAsia="仿宋_GB2312"/>
                <w:bCs/>
                <w:sz w:val="24"/>
                <w:szCs w:val="24"/>
              </w:rPr>
              <w:t>-2</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内容</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组织</w:t>
            </w:r>
          </w:p>
        </w:tc>
        <w:tc>
          <w:tcPr>
            <w:tcW w:w="6565" w:type="dxa"/>
            <w:tcBorders>
              <w:top w:val="single" w:color="auto" w:sz="4" w:space="0"/>
              <w:left w:val="single" w:color="auto" w:sz="4" w:space="0"/>
              <w:bottom w:val="single" w:color="auto" w:sz="4"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遵循学生职业能力和素养培养的基本规律，以真实工作任务及其工作过程为依据整合、序化教学内容，科学设计学习领域教学任务或项目，教、学、做结合，理论与实践一体化，实验、实训、实习等教学环节设计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五</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教</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学</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活</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动</w:t>
            </w: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ascii="仿宋_GB2312" w:hAnsi="宋体" w:eastAsia="仿宋_GB2312"/>
                <w:sz w:val="24"/>
                <w:szCs w:val="24"/>
              </w:rPr>
            </w:pPr>
            <w:r>
              <w:rPr>
                <w:rFonts w:hint="eastAsia" w:ascii="仿宋_GB2312" w:hAnsi="宋体" w:eastAsia="仿宋_GB2312"/>
                <w:sz w:val="24"/>
                <w:szCs w:val="24"/>
              </w:rPr>
              <w:t>5-1</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活动</w:t>
            </w:r>
          </w:p>
          <w:p>
            <w:pPr>
              <w:spacing w:line="280" w:lineRule="exact"/>
              <w:jc w:val="center"/>
              <w:rPr>
                <w:rFonts w:ascii="仿宋_GB2312" w:hAnsi="宋体" w:eastAsia="仿宋_GB2312"/>
                <w:sz w:val="24"/>
                <w:szCs w:val="24"/>
              </w:rPr>
            </w:pPr>
            <w:r>
              <w:rPr>
                <w:rFonts w:hint="eastAsia" w:ascii="仿宋_GB2312" w:hAnsi="宋体" w:eastAsia="仿宋_GB2312"/>
                <w:sz w:val="24"/>
                <w:szCs w:val="24"/>
              </w:rPr>
              <w:t>内容</w:t>
            </w:r>
          </w:p>
        </w:tc>
        <w:tc>
          <w:tcPr>
            <w:tcW w:w="6565" w:type="dxa"/>
            <w:tcBorders>
              <w:top w:val="single" w:color="auto" w:sz="4" w:space="0"/>
              <w:left w:val="single" w:color="auto" w:sz="4" w:space="0"/>
              <w:bottom w:val="single" w:color="000000" w:sz="6"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p>
          <w:p>
            <w:pPr>
              <w:spacing w:line="280" w:lineRule="exact"/>
              <w:jc w:val="left"/>
              <w:rPr>
                <w:rFonts w:hint="eastAsia" w:ascii="仿宋_GB2312" w:eastAsia="仿宋_GB2312"/>
                <w:bCs/>
                <w:sz w:val="24"/>
                <w:szCs w:val="24"/>
              </w:rPr>
            </w:pPr>
            <w:r>
              <w:rPr>
                <w:rFonts w:hint="eastAsia" w:ascii="仿宋_GB2312" w:eastAsia="仿宋_GB2312"/>
                <w:bCs/>
                <w:sz w:val="24"/>
                <w:szCs w:val="24"/>
              </w:rPr>
              <w:t>教师按照学校的教学计划和要求为学习者提供测验、作业、老师、答疑、讨论等教学活动。教学设计、教学实施、过程记录、教学评价、自主学习等各项教学活动完整、有效。</w:t>
            </w:r>
          </w:p>
          <w:p>
            <w:pPr>
              <w:spacing w:line="280" w:lineRule="exact"/>
              <w:jc w:val="left"/>
              <w:rPr>
                <w:rFonts w:hint="eastAsia" w:ascii="仿宋_GB2312" w:eastAsia="仿宋_GB2312"/>
                <w:bCs/>
                <w:sz w:val="24"/>
                <w:szCs w:val="24"/>
              </w:rPr>
            </w:pPr>
          </w:p>
          <w:p>
            <w:pPr>
              <w:spacing w:line="280" w:lineRule="exact"/>
              <w:jc w:val="left"/>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p>
        </w:tc>
        <w:tc>
          <w:tcPr>
            <w:tcW w:w="927" w:type="dxa"/>
            <w:tcBorders>
              <w:top w:val="single" w:color="auto" w:sz="2"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hint="eastAsia" w:ascii="仿宋_GB2312" w:eastAsia="仿宋_GB2312"/>
                <w:bCs/>
                <w:sz w:val="24"/>
                <w:szCs w:val="24"/>
              </w:rPr>
              <w:t>5-2</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活动</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指导</w:t>
            </w:r>
          </w:p>
        </w:tc>
        <w:tc>
          <w:tcPr>
            <w:tcW w:w="6565" w:type="dxa"/>
            <w:tcBorders>
              <w:top w:val="single" w:color="auto" w:sz="2" w:space="0"/>
              <w:left w:val="single" w:color="auto" w:sz="4" w:space="0"/>
              <w:bottom w:val="single" w:color="000000" w:sz="6" w:space="0"/>
              <w:right w:val="single" w:color="auto" w:sz="2"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通过课程平台，教师及时开展在线指导与测评，按时评定成绩。学习者在线学习响应度高，师生互动充分，能有效促进师生之间、学生之间进行资源共享、互动交流和自主式与协作式学习。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restart"/>
            <w:tcBorders>
              <w:top w:val="single" w:color="auto" w:sz="2" w:space="0"/>
              <w:left w:val="single" w:color="auto" w:sz="2" w:space="0"/>
              <w:right w:val="single" w:color="auto" w:sz="4" w:space="0"/>
            </w:tcBorders>
            <w:tcMar>
              <w:top w:w="0" w:type="dxa"/>
              <w:left w:w="57" w:type="dxa"/>
              <w:bottom w:w="0" w:type="dxa"/>
              <w:right w:w="57" w:type="dxa"/>
            </w:tcMar>
            <w:vAlign w:val="center"/>
          </w:tcPr>
          <w:p>
            <w:pPr>
              <w:spacing w:line="240" w:lineRule="exact"/>
              <w:jc w:val="center"/>
              <w:rPr>
                <w:rFonts w:hint="eastAsia" w:ascii="仿宋_GB2312" w:eastAsia="仿宋_GB2312"/>
                <w:bCs/>
                <w:sz w:val="24"/>
                <w:szCs w:val="24"/>
              </w:rPr>
            </w:pPr>
            <w:r>
              <w:rPr>
                <w:rFonts w:hint="eastAsia" w:ascii="仿宋_GB2312" w:eastAsia="仿宋_GB2312"/>
                <w:bCs/>
                <w:sz w:val="24"/>
                <w:szCs w:val="24"/>
              </w:rPr>
              <w:t>六</w:t>
            </w:r>
          </w:p>
          <w:p>
            <w:pPr>
              <w:spacing w:line="240" w:lineRule="exact"/>
              <w:jc w:val="center"/>
              <w:rPr>
                <w:rFonts w:hint="eastAsia" w:ascii="仿宋_GB2312" w:eastAsia="仿宋_GB2312"/>
                <w:bCs/>
                <w:sz w:val="24"/>
                <w:szCs w:val="24"/>
              </w:rPr>
            </w:pP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教</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学</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效</w:t>
            </w:r>
          </w:p>
          <w:p>
            <w:pPr>
              <w:spacing w:line="240" w:lineRule="exact"/>
              <w:jc w:val="center"/>
              <w:rPr>
                <w:rFonts w:hint="eastAsia" w:ascii="仿宋_GB2312" w:eastAsia="仿宋_GB2312"/>
                <w:bCs/>
                <w:sz w:val="24"/>
                <w:szCs w:val="24"/>
              </w:rPr>
            </w:pPr>
            <w:r>
              <w:rPr>
                <w:rFonts w:hint="eastAsia" w:ascii="仿宋_GB2312" w:eastAsia="仿宋_GB2312"/>
                <w:bCs/>
                <w:sz w:val="24"/>
                <w:szCs w:val="24"/>
              </w:rPr>
              <w:t>果</w:t>
            </w:r>
          </w:p>
          <w:p>
            <w:pPr>
              <w:spacing w:line="240" w:lineRule="exact"/>
              <w:jc w:val="center"/>
              <w:rPr>
                <w:rFonts w:ascii="仿宋_GB2312" w:hAnsi="宋体" w:eastAsia="仿宋_GB2312"/>
                <w:bCs/>
                <w:sz w:val="24"/>
                <w:szCs w:val="24"/>
              </w:rPr>
            </w:pPr>
          </w:p>
        </w:tc>
        <w:tc>
          <w:tcPr>
            <w:tcW w:w="927" w:type="dxa"/>
            <w:tcBorders>
              <w:top w:val="single" w:color="auto" w:sz="2"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ascii="仿宋_GB2312" w:eastAsia="仿宋_GB2312"/>
                <w:bCs/>
                <w:sz w:val="24"/>
                <w:szCs w:val="24"/>
              </w:rPr>
              <w:t>6-1</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教学</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评价</w:t>
            </w:r>
          </w:p>
        </w:tc>
        <w:tc>
          <w:tcPr>
            <w:tcW w:w="6565" w:type="dxa"/>
            <w:tcBorders>
              <w:top w:val="single" w:color="auto" w:sz="2" w:space="0"/>
              <w:left w:val="single" w:color="auto" w:sz="4" w:space="0"/>
              <w:bottom w:val="single" w:color="000000" w:sz="6" w:space="0"/>
              <w:right w:val="single" w:color="auto" w:sz="2"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校外专家、行业企业专家、校内督导及学生评价结果优良；在市级课程教学评比（如说课大赛）中获奖的课程优先；创新课程教学效果评价方式。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vMerge w:val="continue"/>
            <w:tcBorders>
              <w:left w:val="single" w:color="auto" w:sz="2" w:space="0"/>
              <w:bottom w:val="single" w:color="auto" w:sz="4" w:space="0"/>
              <w:right w:val="single" w:color="auto" w:sz="4" w:space="0"/>
            </w:tcBorders>
            <w:vAlign w:val="center"/>
          </w:tcPr>
          <w:p>
            <w:pPr>
              <w:widowControl/>
              <w:spacing w:line="240" w:lineRule="exact"/>
              <w:jc w:val="center"/>
              <w:rPr>
                <w:rFonts w:ascii="仿宋_GB2312" w:hAnsi="宋体" w:eastAsia="仿宋_GB2312"/>
                <w:bCs/>
                <w:sz w:val="24"/>
                <w:szCs w:val="24"/>
              </w:rPr>
            </w:pP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ascii="仿宋_GB2312" w:eastAsia="仿宋_GB2312"/>
                <w:bCs/>
                <w:sz w:val="24"/>
                <w:szCs w:val="24"/>
              </w:rPr>
              <w:t>6-2</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课程</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成效</w:t>
            </w:r>
          </w:p>
        </w:tc>
        <w:tc>
          <w:tcPr>
            <w:tcW w:w="6565" w:type="dxa"/>
            <w:tcBorders>
              <w:top w:val="single" w:color="auto" w:sz="4" w:space="0"/>
              <w:left w:val="single" w:color="auto" w:sz="4" w:space="0"/>
              <w:bottom w:val="single" w:color="auto" w:sz="4" w:space="0"/>
              <w:right w:val="single" w:color="auto" w:sz="2"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课程在本校教学过程中能较好地应用，将在线课程与课堂教学相结合，教学方法先进，教学质量高。在其他高校和社会学习者中有一定共享范围，应用模式多样，应用效果好，社会影响良好，示范引领性强。有效提高职业资格证书或专业技能水平证书的获取比例，有效提高各类技能竞赛的获奖比例，有效满足学生顶岗实习的实际需求。参加市级以上各类大赛等获奖的相关课程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940" w:type="dxa"/>
            <w:tcBorders>
              <w:top w:val="single" w:color="auto" w:sz="4" w:space="0"/>
              <w:left w:val="single" w:color="auto" w:sz="2" w:space="0"/>
              <w:bottom w:val="single" w:color="auto" w:sz="4" w:space="0"/>
              <w:right w:val="single" w:color="auto" w:sz="4" w:space="0"/>
            </w:tcBorders>
            <w:vAlign w:val="center"/>
          </w:tcPr>
          <w:p>
            <w:pPr>
              <w:widowControl/>
              <w:spacing w:line="240" w:lineRule="exact"/>
              <w:jc w:val="center"/>
              <w:rPr>
                <w:rFonts w:ascii="仿宋_GB2312" w:hAnsi="宋体" w:eastAsia="仿宋_GB2312"/>
                <w:bCs/>
                <w:sz w:val="24"/>
                <w:szCs w:val="24"/>
              </w:rPr>
            </w:pPr>
            <w:r>
              <w:rPr>
                <w:rFonts w:hint="eastAsia" w:ascii="仿宋_GB2312" w:hAnsi="宋体" w:eastAsia="仿宋_GB2312"/>
                <w:bCs/>
                <w:sz w:val="24"/>
                <w:szCs w:val="24"/>
              </w:rPr>
              <w:t>七</w:t>
            </w:r>
          </w:p>
          <w:p>
            <w:pPr>
              <w:widowControl/>
              <w:spacing w:line="240" w:lineRule="exact"/>
              <w:jc w:val="center"/>
              <w:rPr>
                <w:rFonts w:ascii="仿宋_GB2312" w:hAnsi="宋体" w:eastAsia="仿宋_GB2312"/>
                <w:bCs/>
                <w:sz w:val="24"/>
                <w:szCs w:val="24"/>
              </w:rPr>
            </w:pPr>
          </w:p>
          <w:p>
            <w:pPr>
              <w:widowControl/>
              <w:spacing w:line="240" w:lineRule="exact"/>
              <w:jc w:val="center"/>
              <w:rPr>
                <w:rFonts w:ascii="仿宋_GB2312" w:hAnsi="宋体" w:eastAsia="仿宋_GB2312"/>
                <w:bCs/>
                <w:sz w:val="24"/>
                <w:szCs w:val="24"/>
              </w:rPr>
            </w:pPr>
            <w:r>
              <w:rPr>
                <w:rFonts w:hint="eastAsia" w:ascii="仿宋_GB2312" w:hAnsi="宋体" w:eastAsia="仿宋_GB2312"/>
                <w:bCs/>
                <w:sz w:val="24"/>
                <w:szCs w:val="24"/>
              </w:rPr>
              <w:t>课</w:t>
            </w:r>
          </w:p>
          <w:p>
            <w:pPr>
              <w:widowControl/>
              <w:spacing w:line="240" w:lineRule="exact"/>
              <w:jc w:val="center"/>
              <w:rPr>
                <w:rFonts w:ascii="仿宋_GB2312" w:hAnsi="宋体" w:eastAsia="仿宋_GB2312"/>
                <w:bCs/>
                <w:sz w:val="24"/>
                <w:szCs w:val="24"/>
              </w:rPr>
            </w:pPr>
            <w:r>
              <w:rPr>
                <w:rFonts w:hint="eastAsia" w:ascii="仿宋_GB2312" w:hAnsi="宋体" w:eastAsia="仿宋_GB2312"/>
                <w:bCs/>
                <w:sz w:val="24"/>
                <w:szCs w:val="24"/>
              </w:rPr>
              <w:t>程</w:t>
            </w:r>
          </w:p>
          <w:p>
            <w:pPr>
              <w:widowControl/>
              <w:spacing w:line="240" w:lineRule="exact"/>
              <w:jc w:val="center"/>
              <w:rPr>
                <w:rFonts w:ascii="仿宋_GB2312" w:hAnsi="宋体" w:eastAsia="仿宋_GB2312"/>
                <w:bCs/>
                <w:sz w:val="24"/>
                <w:szCs w:val="24"/>
              </w:rPr>
            </w:pPr>
            <w:r>
              <w:rPr>
                <w:rFonts w:hint="eastAsia" w:ascii="仿宋_GB2312" w:hAnsi="宋体" w:eastAsia="仿宋_GB2312"/>
                <w:bCs/>
                <w:sz w:val="24"/>
                <w:szCs w:val="24"/>
              </w:rPr>
              <w:t>平</w:t>
            </w:r>
          </w:p>
          <w:p>
            <w:pPr>
              <w:widowControl/>
              <w:spacing w:line="240" w:lineRule="exact"/>
              <w:jc w:val="center"/>
              <w:rPr>
                <w:rFonts w:ascii="仿宋_GB2312" w:hAnsi="宋体" w:eastAsia="仿宋_GB2312"/>
                <w:bCs/>
                <w:sz w:val="24"/>
                <w:szCs w:val="24"/>
                <w:highlight w:val="yellow"/>
              </w:rPr>
            </w:pPr>
            <w:r>
              <w:rPr>
                <w:rFonts w:hint="eastAsia" w:ascii="仿宋_GB2312" w:hAnsi="宋体" w:eastAsia="仿宋_GB2312"/>
                <w:bCs/>
                <w:sz w:val="24"/>
                <w:szCs w:val="24"/>
              </w:rPr>
              <w:t>台</w:t>
            </w:r>
          </w:p>
        </w:tc>
        <w:tc>
          <w:tcPr>
            <w:tcW w:w="92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80" w:lineRule="exact"/>
              <w:jc w:val="center"/>
              <w:rPr>
                <w:rFonts w:hint="eastAsia" w:ascii="仿宋_GB2312" w:eastAsia="仿宋_GB2312"/>
                <w:bCs/>
                <w:sz w:val="24"/>
                <w:szCs w:val="24"/>
              </w:rPr>
            </w:pPr>
            <w:r>
              <w:rPr>
                <w:rFonts w:hint="eastAsia" w:ascii="仿宋_GB2312" w:eastAsia="仿宋_GB2312"/>
                <w:bCs/>
                <w:sz w:val="24"/>
                <w:szCs w:val="24"/>
              </w:rPr>
              <w:t>支持</w:t>
            </w:r>
          </w:p>
          <w:p>
            <w:pPr>
              <w:spacing w:line="280" w:lineRule="exact"/>
              <w:jc w:val="center"/>
              <w:rPr>
                <w:rFonts w:hint="eastAsia" w:ascii="仿宋_GB2312" w:eastAsia="仿宋_GB2312"/>
                <w:bCs/>
                <w:sz w:val="24"/>
                <w:szCs w:val="24"/>
              </w:rPr>
            </w:pPr>
            <w:r>
              <w:rPr>
                <w:rFonts w:hint="eastAsia" w:ascii="仿宋_GB2312" w:eastAsia="仿宋_GB2312"/>
                <w:bCs/>
                <w:sz w:val="24"/>
                <w:szCs w:val="24"/>
              </w:rPr>
              <w:t>服务</w:t>
            </w:r>
          </w:p>
        </w:tc>
        <w:tc>
          <w:tcPr>
            <w:tcW w:w="6565" w:type="dxa"/>
            <w:tcBorders>
              <w:top w:val="single" w:color="auto" w:sz="4" w:space="0"/>
              <w:left w:val="single" w:color="auto" w:sz="4" w:space="0"/>
              <w:bottom w:val="single" w:color="auto" w:sz="4" w:space="0"/>
              <w:right w:val="single" w:color="auto" w:sz="2" w:space="0"/>
            </w:tcBorders>
            <w:tcMar>
              <w:top w:w="0" w:type="dxa"/>
              <w:left w:w="57" w:type="dxa"/>
              <w:bottom w:w="0" w:type="dxa"/>
              <w:right w:w="57" w:type="dxa"/>
            </w:tcMar>
            <w:vAlign w:val="center"/>
          </w:tcPr>
          <w:p>
            <w:pPr>
              <w:spacing w:line="280" w:lineRule="exact"/>
              <w:jc w:val="left"/>
              <w:rPr>
                <w:rFonts w:hint="eastAsia" w:ascii="仿宋_GB2312" w:eastAsia="仿宋_GB2312"/>
                <w:bCs/>
                <w:sz w:val="24"/>
                <w:szCs w:val="24"/>
              </w:rPr>
            </w:pPr>
            <w:r>
              <w:rPr>
                <w:rFonts w:hint="eastAsia" w:ascii="仿宋_GB2312" w:eastAsia="仿宋_GB2312"/>
                <w:bCs/>
                <w:sz w:val="24"/>
                <w:szCs w:val="24"/>
              </w:rPr>
              <w:t>课程平台须按照《中国互联网管理条例》等规定，完成有关的备案和审批手续，须至少获得国家信息安全等级保护二级认定。平台运行安全稳定畅通，课程在线教学支持服务高效。同事，须制定相应的管理制度和工作流程，配备专业人员进行课程审查、教学服务管理和安全保障，确保上线课程内容和制作技术规范，适合网络传播。</w:t>
            </w:r>
          </w:p>
        </w:tc>
      </w:tr>
    </w:tbl>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pPr>
        <w:spacing w:line="400" w:lineRule="exact"/>
        <w:ind w:firstLine="560" w:firstLineChars="200"/>
        <w:rPr>
          <w:rFonts w:ascii="仿宋" w:hAnsi="仿宋" w:eastAsia="仿宋"/>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672BE"/>
    <w:rsid w:val="15D672BE"/>
    <w:rsid w:val="7283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2019-11-06T04:24:00Z</dcterms:created>
  <dc:creator>SYF™</dc:creator>
  <cp:lastModifiedBy>SYF™</cp:lastModifiedBy>
  <dcterms:modified xsi:type="dcterms:W3CDTF">2019-11-06T04:28:46Z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